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1A64" w:rsidRPr="00152D7E" w:rsidRDefault="001F40F8">
      <w:pPr>
        <w:rPr>
          <w:lang w:val="en-US"/>
        </w:rPr>
      </w:pPr>
      <w:r w:rsidRPr="00152D7E">
        <w:rPr>
          <w:lang w:val="en-US"/>
        </w:rPr>
        <w:t>Vanini/Krolak/Langguth – Controlling</w:t>
      </w:r>
      <w:r w:rsidR="00F7525D" w:rsidRPr="00152D7E">
        <w:rPr>
          <w:lang w:val="en-US"/>
        </w:rPr>
        <w:t xml:space="preserve">, 2. </w:t>
      </w:r>
      <w:proofErr w:type="spellStart"/>
      <w:r w:rsidR="00F7525D" w:rsidRPr="00152D7E">
        <w:rPr>
          <w:lang w:val="en-US"/>
        </w:rPr>
        <w:t>Aufl</w:t>
      </w:r>
      <w:proofErr w:type="spellEnd"/>
      <w:r w:rsidR="00F7525D" w:rsidRPr="00152D7E">
        <w:rPr>
          <w:lang w:val="en-US"/>
        </w:rPr>
        <w:t>.</w:t>
      </w:r>
    </w:p>
    <w:p w:rsidR="001F40F8" w:rsidRPr="001F40F8" w:rsidRDefault="001F40F8">
      <w:pPr>
        <w:rPr>
          <w:b/>
          <w:u w:val="single"/>
        </w:rPr>
      </w:pPr>
      <w:r w:rsidRPr="001F40F8">
        <w:rPr>
          <w:b/>
          <w:u w:val="single"/>
        </w:rPr>
        <w:t xml:space="preserve">Lösungen für die Wiederholungsaufgaben des </w:t>
      </w:r>
      <w:r w:rsidR="007B6192">
        <w:rPr>
          <w:b/>
          <w:u w:val="single"/>
        </w:rPr>
        <w:t>4</w:t>
      </w:r>
      <w:r w:rsidRPr="001F40F8">
        <w:rPr>
          <w:b/>
          <w:u w:val="single"/>
        </w:rPr>
        <w:t>. Kapitels</w:t>
      </w:r>
    </w:p>
    <w:p w:rsidR="007B6192" w:rsidRDefault="007B6192" w:rsidP="007B6192">
      <w:pPr>
        <w:pStyle w:val="Listenabsatz"/>
        <w:numPr>
          <w:ilvl w:val="0"/>
          <w:numId w:val="3"/>
        </w:numPr>
        <w:spacing w:after="140"/>
        <w:ind w:hanging="425"/>
        <w:rPr>
          <w:rFonts w:asciiTheme="minorHAnsi" w:hAnsiTheme="minorHAnsi" w:cstheme="minorHAnsi"/>
          <w:sz w:val="22"/>
          <w:szCs w:val="22"/>
        </w:rPr>
      </w:pPr>
      <w:r w:rsidRPr="007B6192">
        <w:rPr>
          <w:rFonts w:asciiTheme="minorHAnsi" w:hAnsiTheme="minorHAnsi" w:cstheme="minorHAnsi"/>
          <w:sz w:val="22"/>
          <w:szCs w:val="22"/>
        </w:rPr>
        <w:t xml:space="preserve">Warum kann eine Verhaltenswirkung von </w:t>
      </w:r>
      <w:proofErr w:type="spellStart"/>
      <w:r w:rsidRPr="007B6192">
        <w:rPr>
          <w:rFonts w:asciiTheme="minorHAnsi" w:hAnsiTheme="minorHAnsi" w:cstheme="minorHAnsi"/>
          <w:sz w:val="22"/>
          <w:szCs w:val="22"/>
        </w:rPr>
        <w:t>Controllinginstrumenten</w:t>
      </w:r>
      <w:proofErr w:type="spellEnd"/>
      <w:r w:rsidRPr="007B6192">
        <w:rPr>
          <w:rFonts w:asciiTheme="minorHAnsi" w:hAnsiTheme="minorHAnsi" w:cstheme="minorHAnsi"/>
          <w:sz w:val="22"/>
          <w:szCs w:val="22"/>
        </w:rPr>
        <w:t xml:space="preserve"> vermutet werden?</w:t>
      </w:r>
    </w:p>
    <w:p w:rsidR="007D5D47" w:rsidRPr="007B6192" w:rsidRDefault="007D5D47" w:rsidP="007D5D47">
      <w:pPr>
        <w:pStyle w:val="Listenabsatz"/>
        <w:spacing w:after="140"/>
        <w:ind w:left="425"/>
        <w:rPr>
          <w:rFonts w:asciiTheme="minorHAnsi" w:hAnsiTheme="minorHAnsi" w:cstheme="minorHAnsi"/>
          <w:sz w:val="22"/>
          <w:szCs w:val="22"/>
        </w:rPr>
      </w:pPr>
      <w:r>
        <w:rPr>
          <w:rFonts w:asciiTheme="minorHAnsi" w:hAnsiTheme="minorHAnsi" w:cstheme="minorHAnsi"/>
          <w:sz w:val="22"/>
          <w:szCs w:val="22"/>
        </w:rPr>
        <w:t xml:space="preserve">Antwort: </w:t>
      </w:r>
      <w:r w:rsidRPr="007D5D47">
        <w:rPr>
          <w:rFonts w:asciiTheme="minorHAnsi" w:hAnsiTheme="minorHAnsi" w:cstheme="minorHAnsi"/>
          <w:sz w:val="22"/>
          <w:szCs w:val="22"/>
        </w:rPr>
        <w:t xml:space="preserve">Verhaltenswirkungen von </w:t>
      </w:r>
      <w:proofErr w:type="spellStart"/>
      <w:r w:rsidRPr="007D5D47">
        <w:rPr>
          <w:rFonts w:asciiTheme="minorHAnsi" w:hAnsiTheme="minorHAnsi" w:cstheme="minorHAnsi"/>
          <w:sz w:val="22"/>
          <w:szCs w:val="22"/>
        </w:rPr>
        <w:t>Controllinginstrumenten</w:t>
      </w:r>
      <w:proofErr w:type="spellEnd"/>
      <w:r w:rsidRPr="007D5D47">
        <w:rPr>
          <w:rFonts w:asciiTheme="minorHAnsi" w:hAnsiTheme="minorHAnsi" w:cstheme="minorHAnsi"/>
          <w:sz w:val="22"/>
          <w:szCs w:val="22"/>
        </w:rPr>
        <w:t xml:space="preserve"> können aufgrund von Manipu</w:t>
      </w:r>
      <w:r>
        <w:rPr>
          <w:rFonts w:asciiTheme="minorHAnsi" w:hAnsiTheme="minorHAnsi" w:cstheme="minorHAnsi"/>
          <w:sz w:val="22"/>
          <w:szCs w:val="22"/>
        </w:rPr>
        <w:softHyphen/>
      </w:r>
      <w:r w:rsidRPr="007D5D47">
        <w:rPr>
          <w:rFonts w:asciiTheme="minorHAnsi" w:hAnsiTheme="minorHAnsi" w:cstheme="minorHAnsi"/>
          <w:sz w:val="22"/>
          <w:szCs w:val="22"/>
        </w:rPr>
        <w:t>lations</w:t>
      </w:r>
      <w:r>
        <w:rPr>
          <w:rFonts w:asciiTheme="minorHAnsi" w:hAnsiTheme="minorHAnsi" w:cstheme="minorHAnsi"/>
          <w:sz w:val="22"/>
          <w:szCs w:val="22"/>
        </w:rPr>
        <w:softHyphen/>
      </w:r>
      <w:r w:rsidRPr="007D5D47">
        <w:rPr>
          <w:rFonts w:asciiTheme="minorHAnsi" w:hAnsiTheme="minorHAnsi" w:cstheme="minorHAnsi"/>
          <w:sz w:val="22"/>
          <w:szCs w:val="22"/>
        </w:rPr>
        <w:t>potenzialen bei der Datenbereitstellung durch die Mitarbeiter und Konfliktpotenzialen durch die Planungs- und Kontrolltätigkeit des Controllers sowie aufgrund von kognitiven und motivationalen Beschränkungen aller Akteure in einem Unternehmen vermutet werden.</w:t>
      </w:r>
    </w:p>
    <w:p w:rsidR="007B6192" w:rsidRDefault="007B6192" w:rsidP="007B6192">
      <w:pPr>
        <w:pStyle w:val="Listenabsatz"/>
        <w:numPr>
          <w:ilvl w:val="0"/>
          <w:numId w:val="3"/>
        </w:numPr>
        <w:spacing w:after="140"/>
        <w:ind w:hanging="425"/>
        <w:rPr>
          <w:rFonts w:asciiTheme="minorHAnsi" w:hAnsiTheme="minorHAnsi" w:cstheme="minorHAnsi"/>
          <w:sz w:val="22"/>
          <w:szCs w:val="22"/>
        </w:rPr>
      </w:pPr>
      <w:bookmarkStart w:id="0" w:name="_Toc160429886"/>
      <w:r w:rsidRPr="007B6192">
        <w:rPr>
          <w:rFonts w:asciiTheme="minorHAnsi" w:hAnsiTheme="minorHAnsi" w:cstheme="minorHAnsi"/>
          <w:sz w:val="22"/>
          <w:szCs w:val="22"/>
        </w:rPr>
        <w:t>Was versteht man unter dysfunktionalem Verhalten?</w:t>
      </w:r>
      <w:bookmarkEnd w:id="0"/>
    </w:p>
    <w:p w:rsidR="007D5D47" w:rsidRPr="007B6192" w:rsidRDefault="00C14BA9" w:rsidP="007D5D47">
      <w:pPr>
        <w:pStyle w:val="Listenabsatz"/>
        <w:spacing w:after="140"/>
        <w:ind w:left="428"/>
        <w:rPr>
          <w:rFonts w:asciiTheme="minorHAnsi" w:hAnsiTheme="minorHAnsi" w:cstheme="minorHAnsi"/>
          <w:sz w:val="22"/>
          <w:szCs w:val="22"/>
        </w:rPr>
      </w:pPr>
      <w:r>
        <w:rPr>
          <w:rFonts w:asciiTheme="minorHAnsi" w:hAnsiTheme="minorHAnsi" w:cstheme="minorHAnsi"/>
          <w:sz w:val="22"/>
          <w:szCs w:val="22"/>
        </w:rPr>
        <w:t xml:space="preserve">Antwort: </w:t>
      </w:r>
      <w:r w:rsidRPr="00C14BA9">
        <w:rPr>
          <w:rFonts w:asciiTheme="minorHAnsi" w:hAnsiTheme="minorHAnsi" w:cstheme="minorHAnsi"/>
          <w:sz w:val="22"/>
          <w:szCs w:val="22"/>
        </w:rPr>
        <w:t>Dysfunktionales Verhalten umfasst alle unbewussten und bewussten Handlungen von Mitarbeitern, die den ursprünglich intendierten Funktionen eines Instrumentes abträglich oder sogar entgegengesetzt sind und dadurch die Erreichung der Unternehmensziele beeinträchtigen.</w:t>
      </w:r>
    </w:p>
    <w:p w:rsidR="007B6192" w:rsidRDefault="007B6192" w:rsidP="007B6192">
      <w:pPr>
        <w:pStyle w:val="Listenabsatz"/>
        <w:numPr>
          <w:ilvl w:val="0"/>
          <w:numId w:val="3"/>
        </w:numPr>
        <w:spacing w:after="140"/>
        <w:ind w:hanging="425"/>
        <w:rPr>
          <w:rFonts w:asciiTheme="minorHAnsi" w:hAnsiTheme="minorHAnsi" w:cstheme="minorHAnsi"/>
          <w:sz w:val="22"/>
          <w:szCs w:val="22"/>
        </w:rPr>
      </w:pPr>
      <w:r w:rsidRPr="007B6192">
        <w:rPr>
          <w:rFonts w:asciiTheme="minorHAnsi" w:hAnsiTheme="minorHAnsi" w:cstheme="minorHAnsi"/>
          <w:sz w:val="22"/>
          <w:szCs w:val="22"/>
        </w:rPr>
        <w:t>Wie kann dysfunktionales Verhalten systematisiert werden?</w:t>
      </w:r>
    </w:p>
    <w:p w:rsidR="00C14BA9" w:rsidRPr="007B6192" w:rsidRDefault="00C14BA9" w:rsidP="00C14BA9">
      <w:pPr>
        <w:pStyle w:val="Listenabsatz"/>
        <w:spacing w:after="140"/>
        <w:ind w:left="428"/>
        <w:rPr>
          <w:rFonts w:asciiTheme="minorHAnsi" w:hAnsiTheme="minorHAnsi" w:cstheme="minorHAnsi"/>
          <w:sz w:val="22"/>
          <w:szCs w:val="22"/>
        </w:rPr>
      </w:pPr>
      <w:r>
        <w:rPr>
          <w:rFonts w:asciiTheme="minorHAnsi" w:hAnsiTheme="minorHAnsi" w:cstheme="minorHAnsi"/>
          <w:sz w:val="22"/>
          <w:szCs w:val="22"/>
        </w:rPr>
        <w:t xml:space="preserve">Antwort: </w:t>
      </w:r>
      <w:r w:rsidRPr="00C14BA9">
        <w:rPr>
          <w:rFonts w:asciiTheme="minorHAnsi" w:hAnsiTheme="minorHAnsi" w:cstheme="minorHAnsi"/>
          <w:sz w:val="22"/>
          <w:szCs w:val="22"/>
        </w:rPr>
        <w:t xml:space="preserve">Dysfunktionales Verhalten lässt sich nach den Kriterien Akteure, Ursachen und Wirkungen systematisieren. Aufgrund ihrer Zusammenarbeit im </w:t>
      </w:r>
      <w:proofErr w:type="spellStart"/>
      <w:r w:rsidRPr="00C14BA9">
        <w:rPr>
          <w:rFonts w:asciiTheme="minorHAnsi" w:hAnsiTheme="minorHAnsi" w:cstheme="minorHAnsi"/>
          <w:sz w:val="22"/>
          <w:szCs w:val="22"/>
        </w:rPr>
        <w:t>Controllingprozess</w:t>
      </w:r>
      <w:proofErr w:type="spellEnd"/>
      <w:r w:rsidRPr="00C14BA9">
        <w:rPr>
          <w:rFonts w:asciiTheme="minorHAnsi" w:hAnsiTheme="minorHAnsi" w:cstheme="minorHAnsi"/>
          <w:sz w:val="22"/>
          <w:szCs w:val="22"/>
        </w:rPr>
        <w:t xml:space="preserve"> können sich sowohl Mitarbeiter, Manager wie auch Controller dysfunktional verhalten. Nach den Ursachen lassen sich dysfunktionale Verhaltensweisen aufgrund von Könnens- und von </w:t>
      </w:r>
      <w:proofErr w:type="spellStart"/>
      <w:r w:rsidRPr="00C14BA9">
        <w:rPr>
          <w:rFonts w:asciiTheme="minorHAnsi" w:hAnsiTheme="minorHAnsi" w:cstheme="minorHAnsi"/>
          <w:sz w:val="22"/>
          <w:szCs w:val="22"/>
        </w:rPr>
        <w:t>Wollensdefiziten</w:t>
      </w:r>
      <w:proofErr w:type="spellEnd"/>
      <w:r w:rsidRPr="00C14BA9">
        <w:rPr>
          <w:rFonts w:asciiTheme="minorHAnsi" w:hAnsiTheme="minorHAnsi" w:cstheme="minorHAnsi"/>
          <w:sz w:val="22"/>
          <w:szCs w:val="22"/>
        </w:rPr>
        <w:t xml:space="preserve"> unterscheiden. </w:t>
      </w:r>
      <w:proofErr w:type="spellStart"/>
      <w:r w:rsidRPr="00C14BA9">
        <w:rPr>
          <w:rFonts w:asciiTheme="minorHAnsi" w:hAnsiTheme="minorHAnsi" w:cstheme="minorHAnsi"/>
          <w:sz w:val="22"/>
          <w:szCs w:val="22"/>
        </w:rPr>
        <w:t>Könnensdefizite</w:t>
      </w:r>
      <w:proofErr w:type="spellEnd"/>
      <w:r w:rsidRPr="00C14BA9">
        <w:rPr>
          <w:rFonts w:asciiTheme="minorHAnsi" w:hAnsiTheme="minorHAnsi" w:cstheme="minorHAnsi"/>
          <w:sz w:val="22"/>
          <w:szCs w:val="22"/>
        </w:rPr>
        <w:t xml:space="preserve"> ergeben sich aus den begrenzten kognitiven Fähigkeiten der Unternehmensakteure, </w:t>
      </w:r>
      <w:proofErr w:type="spellStart"/>
      <w:r w:rsidRPr="00C14BA9">
        <w:rPr>
          <w:rFonts w:asciiTheme="minorHAnsi" w:hAnsiTheme="minorHAnsi" w:cstheme="minorHAnsi"/>
          <w:sz w:val="22"/>
          <w:szCs w:val="22"/>
        </w:rPr>
        <w:t>Wollensprobleme</w:t>
      </w:r>
      <w:proofErr w:type="spellEnd"/>
      <w:r w:rsidRPr="00C14BA9">
        <w:rPr>
          <w:rFonts w:asciiTheme="minorHAnsi" w:hAnsiTheme="minorHAnsi" w:cstheme="minorHAnsi"/>
          <w:sz w:val="22"/>
          <w:szCs w:val="22"/>
        </w:rPr>
        <w:t xml:space="preserve"> aus dem Bestreben der Akteure zur Reduzierung des eigenen Arbeitsleids, opportunistischem Verhalten oder ihrer persönlichen Einstellung.</w:t>
      </w:r>
      <w:r w:rsidR="00EF28F0">
        <w:rPr>
          <w:rFonts w:asciiTheme="minorHAnsi" w:hAnsiTheme="minorHAnsi" w:cstheme="minorHAnsi"/>
          <w:sz w:val="22"/>
          <w:szCs w:val="22"/>
        </w:rPr>
        <w:t xml:space="preserve"> Darüber hinaus können Emotionen auf Auftreten von dysfunktionalem Verhalten begünstigen.</w:t>
      </w:r>
      <w:r>
        <w:rPr>
          <w:rFonts w:asciiTheme="minorHAnsi" w:hAnsiTheme="minorHAnsi" w:cstheme="minorHAnsi"/>
          <w:sz w:val="22"/>
          <w:szCs w:val="22"/>
        </w:rPr>
        <w:t xml:space="preserve"> </w:t>
      </w:r>
      <w:r w:rsidRPr="00C14BA9">
        <w:rPr>
          <w:rFonts w:asciiTheme="minorHAnsi" w:hAnsiTheme="minorHAnsi" w:cstheme="minorHAnsi"/>
          <w:sz w:val="22"/>
          <w:szCs w:val="22"/>
        </w:rPr>
        <w:t xml:space="preserve">Nach der Wirkung lassen sich dysfunktionale Verhaltensweisen in bürokratisches Verhalten, Verfälschung von Informationen sowie mittelbare Dysfunktionalitäten unterscheiden. Bei bürokratischem Verhalten richtet der Aufgabenträger seinen Arbeitseinsatz ausschließlich auf die Einhaltung der Zielvorgaben aus. Eine Verfälschung von Informationen kann </w:t>
      </w:r>
      <w:r w:rsidR="002251B2">
        <w:rPr>
          <w:rFonts w:asciiTheme="minorHAnsi" w:hAnsiTheme="minorHAnsi" w:cstheme="minorHAnsi"/>
          <w:sz w:val="22"/>
          <w:szCs w:val="22"/>
        </w:rPr>
        <w:t xml:space="preserve">in </w:t>
      </w:r>
      <w:r w:rsidRPr="00C14BA9">
        <w:rPr>
          <w:rFonts w:asciiTheme="minorHAnsi" w:hAnsiTheme="minorHAnsi" w:cstheme="minorHAnsi"/>
          <w:sz w:val="22"/>
          <w:szCs w:val="22"/>
        </w:rPr>
        <w:t xml:space="preserve">Form von </w:t>
      </w:r>
      <w:r w:rsidR="002251B2">
        <w:rPr>
          <w:rFonts w:asciiTheme="minorHAnsi" w:hAnsiTheme="minorHAnsi" w:cstheme="minorHAnsi"/>
          <w:sz w:val="22"/>
          <w:szCs w:val="22"/>
        </w:rPr>
        <w:t>„</w:t>
      </w:r>
      <w:proofErr w:type="spellStart"/>
      <w:r w:rsidRPr="00C14BA9">
        <w:rPr>
          <w:rFonts w:asciiTheme="minorHAnsi" w:hAnsiTheme="minorHAnsi" w:cstheme="minorHAnsi"/>
          <w:sz w:val="22"/>
          <w:szCs w:val="22"/>
        </w:rPr>
        <w:t>slack</w:t>
      </w:r>
      <w:proofErr w:type="spellEnd"/>
      <w:r w:rsidR="002251B2">
        <w:rPr>
          <w:rFonts w:asciiTheme="minorHAnsi" w:hAnsiTheme="minorHAnsi" w:cstheme="minorHAnsi"/>
          <w:sz w:val="22"/>
          <w:szCs w:val="22"/>
        </w:rPr>
        <w:t>“</w:t>
      </w:r>
      <w:r w:rsidRPr="00C14BA9">
        <w:rPr>
          <w:rFonts w:asciiTheme="minorHAnsi" w:hAnsiTheme="minorHAnsi" w:cstheme="minorHAnsi"/>
          <w:sz w:val="22"/>
          <w:szCs w:val="22"/>
        </w:rPr>
        <w:t xml:space="preserve"> sowie einer Manipulation von Kontrollinformationen auftreten. Mittelbare Verhaltensdysfunktionalitäten umfassen sowohl psycho-soziale Effekte wie Konflikte oder Widerstände gegen </w:t>
      </w:r>
      <w:proofErr w:type="spellStart"/>
      <w:r w:rsidRPr="00C14BA9">
        <w:rPr>
          <w:rFonts w:asciiTheme="minorHAnsi" w:hAnsiTheme="minorHAnsi" w:cstheme="minorHAnsi"/>
          <w:sz w:val="22"/>
          <w:szCs w:val="22"/>
        </w:rPr>
        <w:t>Controlling</w:t>
      </w:r>
      <w:r w:rsidR="00EF28F0">
        <w:rPr>
          <w:rFonts w:asciiTheme="minorHAnsi" w:hAnsiTheme="minorHAnsi" w:cstheme="minorHAnsi"/>
          <w:sz w:val="22"/>
          <w:szCs w:val="22"/>
        </w:rPr>
        <w:softHyphen/>
      </w:r>
      <w:r w:rsidRPr="00C14BA9">
        <w:rPr>
          <w:rFonts w:asciiTheme="minorHAnsi" w:hAnsiTheme="minorHAnsi" w:cstheme="minorHAnsi"/>
          <w:sz w:val="22"/>
          <w:szCs w:val="22"/>
        </w:rPr>
        <w:t>instrumente</w:t>
      </w:r>
      <w:proofErr w:type="spellEnd"/>
      <w:r w:rsidRPr="00C14BA9">
        <w:rPr>
          <w:rFonts w:asciiTheme="minorHAnsi" w:hAnsiTheme="minorHAnsi" w:cstheme="minorHAnsi"/>
          <w:sz w:val="22"/>
          <w:szCs w:val="22"/>
        </w:rPr>
        <w:t xml:space="preserve"> sowie den Aufbau informeller Informationssysteme durch die Mitarbeiter.</w:t>
      </w:r>
      <w:r w:rsidR="00EF28F0">
        <w:rPr>
          <w:rFonts w:asciiTheme="minorHAnsi" w:hAnsiTheme="minorHAnsi" w:cstheme="minorHAnsi"/>
          <w:sz w:val="22"/>
          <w:szCs w:val="22"/>
        </w:rPr>
        <w:t xml:space="preserve"> Zudem können Manager Risiken in übermäßigem Umfang übernehmen oder Fehlentscheidungen aufgrund von kognitiven Verzerrungen treffen.</w:t>
      </w:r>
    </w:p>
    <w:p w:rsidR="007B6192" w:rsidRDefault="007B6192" w:rsidP="007B6192">
      <w:pPr>
        <w:pStyle w:val="Listenabsatz"/>
        <w:numPr>
          <w:ilvl w:val="0"/>
          <w:numId w:val="3"/>
        </w:numPr>
        <w:spacing w:after="140"/>
        <w:ind w:hanging="425"/>
        <w:rPr>
          <w:rFonts w:asciiTheme="minorHAnsi" w:hAnsiTheme="minorHAnsi" w:cstheme="minorHAnsi"/>
          <w:sz w:val="22"/>
          <w:szCs w:val="22"/>
        </w:rPr>
      </w:pPr>
      <w:r w:rsidRPr="007B6192">
        <w:rPr>
          <w:rFonts w:asciiTheme="minorHAnsi" w:hAnsiTheme="minorHAnsi" w:cstheme="minorHAnsi"/>
          <w:sz w:val="22"/>
          <w:szCs w:val="22"/>
        </w:rPr>
        <w:t>Welches funktionale und dysfunktionale Verhalten kann eine Budgetierung auslösen?</w:t>
      </w:r>
    </w:p>
    <w:p w:rsidR="00C14BA9" w:rsidRPr="00C14BA9" w:rsidRDefault="00C14BA9" w:rsidP="00C14BA9">
      <w:pPr>
        <w:pStyle w:val="Listenabsatz"/>
        <w:spacing w:after="140"/>
        <w:ind w:left="425"/>
        <w:rPr>
          <w:rFonts w:asciiTheme="minorHAnsi" w:hAnsiTheme="minorHAnsi" w:cstheme="minorHAnsi"/>
          <w:sz w:val="22"/>
          <w:szCs w:val="22"/>
        </w:rPr>
      </w:pPr>
      <w:r>
        <w:rPr>
          <w:rFonts w:asciiTheme="minorHAnsi" w:hAnsiTheme="minorHAnsi" w:cstheme="minorHAnsi"/>
          <w:sz w:val="22"/>
          <w:szCs w:val="22"/>
        </w:rPr>
        <w:t xml:space="preserve">Antwort: </w:t>
      </w:r>
      <w:r w:rsidRPr="00C14BA9">
        <w:rPr>
          <w:rFonts w:asciiTheme="minorHAnsi" w:hAnsiTheme="minorHAnsi" w:cstheme="minorHAnsi"/>
          <w:sz w:val="22"/>
          <w:szCs w:val="22"/>
        </w:rPr>
        <w:t>Die Auswahl angemessener Zielgrößen kann die Unsicherheit der Budgetver</w:t>
      </w:r>
      <w:r>
        <w:rPr>
          <w:rFonts w:asciiTheme="minorHAnsi" w:hAnsiTheme="minorHAnsi" w:cstheme="minorHAnsi"/>
          <w:sz w:val="22"/>
          <w:szCs w:val="22"/>
        </w:rPr>
        <w:softHyphen/>
      </w:r>
      <w:r w:rsidRPr="00C14BA9">
        <w:rPr>
          <w:rFonts w:asciiTheme="minorHAnsi" w:hAnsiTheme="minorHAnsi" w:cstheme="minorHAnsi"/>
          <w:sz w:val="22"/>
          <w:szCs w:val="22"/>
        </w:rPr>
        <w:t>ant</w:t>
      </w:r>
      <w:r>
        <w:rPr>
          <w:rFonts w:asciiTheme="minorHAnsi" w:hAnsiTheme="minorHAnsi" w:cstheme="minorHAnsi"/>
          <w:sz w:val="22"/>
          <w:szCs w:val="22"/>
        </w:rPr>
        <w:softHyphen/>
      </w:r>
      <w:r w:rsidRPr="00C14BA9">
        <w:rPr>
          <w:rFonts w:asciiTheme="minorHAnsi" w:hAnsiTheme="minorHAnsi" w:cstheme="minorHAnsi"/>
          <w:sz w:val="22"/>
          <w:szCs w:val="22"/>
        </w:rPr>
        <w:t>wortlichen abbauen, ihre Motivation steigern und daher zu einer effizienteren Ressourcen</w:t>
      </w:r>
      <w:r>
        <w:rPr>
          <w:rFonts w:asciiTheme="minorHAnsi" w:hAnsiTheme="minorHAnsi" w:cstheme="minorHAnsi"/>
          <w:sz w:val="22"/>
          <w:szCs w:val="22"/>
        </w:rPr>
        <w:softHyphen/>
      </w:r>
      <w:r w:rsidRPr="00C14BA9">
        <w:rPr>
          <w:rFonts w:asciiTheme="minorHAnsi" w:hAnsiTheme="minorHAnsi" w:cstheme="minorHAnsi"/>
          <w:sz w:val="22"/>
          <w:szCs w:val="22"/>
        </w:rPr>
        <w:t>verwendung im Unternehmen beitragen. Bei einer Fokussierung auf kurzfristige monetäre Zielgrößen kann es jedoch zu bürokratischem Verhalten der Budgetverantwortlichen kommen.</w:t>
      </w:r>
    </w:p>
    <w:p w:rsidR="00C14BA9" w:rsidRPr="00C14BA9" w:rsidRDefault="00C14BA9" w:rsidP="00C14BA9">
      <w:pPr>
        <w:pStyle w:val="Listenabsatz"/>
        <w:spacing w:after="140"/>
        <w:ind w:left="425"/>
        <w:rPr>
          <w:rFonts w:asciiTheme="minorHAnsi" w:hAnsiTheme="minorHAnsi" w:cstheme="minorHAnsi"/>
          <w:sz w:val="22"/>
          <w:szCs w:val="22"/>
        </w:rPr>
      </w:pPr>
      <w:r w:rsidRPr="00C14BA9">
        <w:rPr>
          <w:rFonts w:asciiTheme="minorHAnsi" w:hAnsiTheme="minorHAnsi" w:cstheme="minorHAnsi"/>
          <w:sz w:val="22"/>
          <w:szCs w:val="22"/>
        </w:rPr>
        <w:t>Die Verwendung von problemorientierten Budgetierungsverfahren kann aufgrund ihres analyti</w:t>
      </w:r>
      <w:r>
        <w:rPr>
          <w:rFonts w:asciiTheme="minorHAnsi" w:hAnsiTheme="minorHAnsi" w:cstheme="minorHAnsi"/>
          <w:sz w:val="22"/>
          <w:szCs w:val="22"/>
        </w:rPr>
        <w:softHyphen/>
      </w:r>
      <w:r w:rsidRPr="00C14BA9">
        <w:rPr>
          <w:rFonts w:asciiTheme="minorHAnsi" w:hAnsiTheme="minorHAnsi" w:cstheme="minorHAnsi"/>
          <w:sz w:val="22"/>
          <w:szCs w:val="22"/>
        </w:rPr>
        <w:t>schen Charakters ebenfalls zu einer Effizienzsteigerung führen. Eine Fortschreibungsbudgetierung wirkt sich jedoch negativ auf die Motivation der Budgetverantwortlichen und damit auf die Erfüllung der Effizienzverbesserungsfunktion aus. Zudem wird auch die Erreichung der Koordinationsfunktion nicht unterstützt, da eine Abstimmung der Budgetbereiche nicht erfolgt.</w:t>
      </w:r>
    </w:p>
    <w:p w:rsidR="00C14BA9" w:rsidRPr="00C14BA9" w:rsidRDefault="00C14BA9" w:rsidP="00C14BA9">
      <w:pPr>
        <w:pStyle w:val="Listenabsatz"/>
        <w:spacing w:after="140"/>
        <w:ind w:left="425"/>
        <w:rPr>
          <w:rFonts w:asciiTheme="minorHAnsi" w:hAnsiTheme="minorHAnsi" w:cstheme="minorHAnsi"/>
          <w:sz w:val="22"/>
          <w:szCs w:val="22"/>
        </w:rPr>
      </w:pPr>
      <w:r w:rsidRPr="00C14BA9">
        <w:rPr>
          <w:rFonts w:asciiTheme="minorHAnsi" w:hAnsiTheme="minorHAnsi" w:cstheme="minorHAnsi"/>
          <w:sz w:val="22"/>
          <w:szCs w:val="22"/>
        </w:rPr>
        <w:t>Eine partizipative Budgetierung wirkt sich günstig auf die Akzeptanz und Motivation der Budgetverantwortlichen aus und unterstützt daher die Erreichung der Vorgabe- und Motivationsfunktion. Darüber hinaus trägt eine Beteiligung zur Erreichung der Koordinations</w:t>
      </w:r>
      <w:r>
        <w:rPr>
          <w:rFonts w:asciiTheme="minorHAnsi" w:hAnsiTheme="minorHAnsi" w:cstheme="minorHAnsi"/>
          <w:sz w:val="22"/>
          <w:szCs w:val="22"/>
        </w:rPr>
        <w:softHyphen/>
      </w:r>
      <w:r w:rsidRPr="00C14BA9">
        <w:rPr>
          <w:rFonts w:asciiTheme="minorHAnsi" w:hAnsiTheme="minorHAnsi" w:cstheme="minorHAnsi"/>
          <w:sz w:val="22"/>
          <w:szCs w:val="22"/>
        </w:rPr>
        <w:t xml:space="preserve">funktion der Budgetierung bei. Jedoch kann eine partizipative Budgetierung zur Bildung von </w:t>
      </w:r>
      <w:r w:rsidR="002251B2">
        <w:rPr>
          <w:rFonts w:asciiTheme="minorHAnsi" w:hAnsiTheme="minorHAnsi" w:cstheme="minorHAnsi"/>
          <w:sz w:val="22"/>
          <w:szCs w:val="22"/>
        </w:rPr>
        <w:t>„</w:t>
      </w:r>
      <w:proofErr w:type="spellStart"/>
      <w:r w:rsidRPr="00C14BA9">
        <w:rPr>
          <w:rFonts w:asciiTheme="minorHAnsi" w:hAnsiTheme="minorHAnsi" w:cstheme="minorHAnsi"/>
          <w:sz w:val="22"/>
          <w:szCs w:val="22"/>
        </w:rPr>
        <w:t>budgetary</w:t>
      </w:r>
      <w:proofErr w:type="spellEnd"/>
      <w:r w:rsidRPr="00C14BA9">
        <w:rPr>
          <w:rFonts w:asciiTheme="minorHAnsi" w:hAnsiTheme="minorHAnsi" w:cstheme="minorHAnsi"/>
          <w:sz w:val="22"/>
          <w:szCs w:val="22"/>
        </w:rPr>
        <w:t xml:space="preserve"> </w:t>
      </w:r>
      <w:proofErr w:type="spellStart"/>
      <w:r w:rsidRPr="00C14BA9">
        <w:rPr>
          <w:rFonts w:asciiTheme="minorHAnsi" w:hAnsiTheme="minorHAnsi" w:cstheme="minorHAnsi"/>
          <w:sz w:val="22"/>
          <w:szCs w:val="22"/>
        </w:rPr>
        <w:t>slacks</w:t>
      </w:r>
      <w:proofErr w:type="spellEnd"/>
      <w:r w:rsidR="002251B2">
        <w:rPr>
          <w:rFonts w:asciiTheme="minorHAnsi" w:hAnsiTheme="minorHAnsi" w:cstheme="minorHAnsi"/>
          <w:sz w:val="22"/>
          <w:szCs w:val="22"/>
        </w:rPr>
        <w:t>“</w:t>
      </w:r>
      <w:r w:rsidRPr="00C14BA9">
        <w:rPr>
          <w:rFonts w:asciiTheme="minorHAnsi" w:hAnsiTheme="minorHAnsi" w:cstheme="minorHAnsi"/>
          <w:sz w:val="22"/>
          <w:szCs w:val="22"/>
        </w:rPr>
        <w:t xml:space="preserve"> und damit zur Nichterfüllung der Effizienzverbesserungsfunktion führen.</w:t>
      </w:r>
    </w:p>
    <w:p w:rsidR="00C14BA9" w:rsidRPr="007B6192" w:rsidRDefault="00C14BA9" w:rsidP="00C14BA9">
      <w:pPr>
        <w:pStyle w:val="Listenabsatz"/>
        <w:spacing w:after="140"/>
        <w:ind w:left="425"/>
        <w:rPr>
          <w:rFonts w:asciiTheme="minorHAnsi" w:hAnsiTheme="minorHAnsi" w:cstheme="minorHAnsi"/>
          <w:sz w:val="22"/>
          <w:szCs w:val="22"/>
        </w:rPr>
      </w:pPr>
      <w:r w:rsidRPr="00C14BA9">
        <w:rPr>
          <w:rFonts w:asciiTheme="minorHAnsi" w:hAnsiTheme="minorHAnsi" w:cstheme="minorHAnsi"/>
          <w:sz w:val="22"/>
          <w:szCs w:val="22"/>
        </w:rPr>
        <w:lastRenderedPageBreak/>
        <w:t>Eine Selbstkontrolle im Rahmen der Budgetierung kann zwar positiv zur Akzeptanz und Motivation der Budgetverantwortlichen beitragen und die Lernwirkung insbesondere der Abweichungs</w:t>
      </w:r>
      <w:r>
        <w:rPr>
          <w:rFonts w:asciiTheme="minorHAnsi" w:hAnsiTheme="minorHAnsi" w:cstheme="minorHAnsi"/>
          <w:sz w:val="22"/>
          <w:szCs w:val="22"/>
        </w:rPr>
        <w:softHyphen/>
      </w:r>
      <w:r w:rsidRPr="00C14BA9">
        <w:rPr>
          <w:rFonts w:asciiTheme="minorHAnsi" w:hAnsiTheme="minorHAnsi" w:cstheme="minorHAnsi"/>
          <w:sz w:val="22"/>
          <w:szCs w:val="22"/>
        </w:rPr>
        <w:t>analyse unterstützen. Allerdings eröffnet eine Selbstkontrolle Manipulationsspielräume und gefährdet daher die Kontroll- und die Effizienzverbesserungsfunktion der Budgetierung.</w:t>
      </w:r>
    </w:p>
    <w:p w:rsidR="007B6192" w:rsidRDefault="007B6192" w:rsidP="007B6192">
      <w:pPr>
        <w:pStyle w:val="Listenabsatz"/>
        <w:numPr>
          <w:ilvl w:val="0"/>
          <w:numId w:val="3"/>
        </w:numPr>
        <w:spacing w:after="140"/>
        <w:ind w:hanging="425"/>
        <w:rPr>
          <w:rFonts w:asciiTheme="minorHAnsi" w:hAnsiTheme="minorHAnsi" w:cstheme="minorHAnsi"/>
          <w:sz w:val="22"/>
          <w:szCs w:val="22"/>
        </w:rPr>
      </w:pPr>
      <w:r w:rsidRPr="007B6192">
        <w:rPr>
          <w:rFonts w:asciiTheme="minorHAnsi" w:hAnsiTheme="minorHAnsi" w:cstheme="minorHAnsi"/>
          <w:sz w:val="22"/>
          <w:szCs w:val="22"/>
        </w:rPr>
        <w:t>Welche Maßnahmen zur Vermeidung von dysfunktionalem Verhalten durch Budgetierung gibt es?</w:t>
      </w:r>
    </w:p>
    <w:p w:rsidR="00C14BA9" w:rsidRPr="007B6192" w:rsidRDefault="00C14BA9" w:rsidP="00C14BA9">
      <w:pPr>
        <w:pStyle w:val="Listenabsatz"/>
        <w:spacing w:after="140"/>
        <w:ind w:left="428"/>
        <w:rPr>
          <w:rFonts w:asciiTheme="minorHAnsi" w:hAnsiTheme="minorHAnsi" w:cstheme="minorHAnsi"/>
          <w:sz w:val="22"/>
          <w:szCs w:val="22"/>
        </w:rPr>
      </w:pPr>
      <w:r>
        <w:rPr>
          <w:rFonts w:asciiTheme="minorHAnsi" w:hAnsiTheme="minorHAnsi" w:cstheme="minorHAnsi"/>
          <w:sz w:val="22"/>
          <w:szCs w:val="22"/>
        </w:rPr>
        <w:t xml:space="preserve">Antwort: </w:t>
      </w:r>
      <w:r w:rsidRPr="00C14BA9">
        <w:rPr>
          <w:rFonts w:asciiTheme="minorHAnsi" w:hAnsiTheme="minorHAnsi" w:cstheme="minorHAnsi"/>
          <w:sz w:val="22"/>
          <w:szCs w:val="22"/>
        </w:rPr>
        <w:t xml:space="preserve">Bei der Festlegung der Zielgrößen der Budgetierung ist auf eine Verknüpfung zwischen operativen Budget- und langfristigen Gesamtunternehmenszielen sowie auf eine Ergänzung durch qualitative Größen, wie z.B. die Kundenzufriedenheit, zu achten, um bürokratisches Verhalten zu vermeiden. Zudem sollte auf problemorientierte Budgetierungsverfahren zugegriffen werden. Muss eine Fortschreibungsbudgetierung eingesetzt werden, so ist eine Budgetreduktion bei Unterschreitung der Budgetvorgaben des Vorjahres zu vermeiden. Bei der Budgetkontrolle ist auf Manipulationsresistenz, z.B. durch eine automatisierte Gewinnung der Kontrolldaten, zu achten. Durch Schulungen sollen </w:t>
      </w:r>
      <w:proofErr w:type="spellStart"/>
      <w:r w:rsidRPr="00C14BA9">
        <w:rPr>
          <w:rFonts w:asciiTheme="minorHAnsi" w:hAnsiTheme="minorHAnsi" w:cstheme="minorHAnsi"/>
          <w:sz w:val="22"/>
          <w:szCs w:val="22"/>
        </w:rPr>
        <w:t>Könnensdefizite</w:t>
      </w:r>
      <w:proofErr w:type="spellEnd"/>
      <w:r w:rsidRPr="00C14BA9">
        <w:rPr>
          <w:rFonts w:asciiTheme="minorHAnsi" w:hAnsiTheme="minorHAnsi" w:cstheme="minorHAnsi"/>
          <w:sz w:val="22"/>
          <w:szCs w:val="22"/>
        </w:rPr>
        <w:t xml:space="preserve"> der Budgetverantwortlichen abgebaut und diese zur Selbstkontrolle befähigt werden. Ein Mindestmaß an Fremdkontrolle ist zur Vermeidung von </w:t>
      </w:r>
      <w:proofErr w:type="spellStart"/>
      <w:r w:rsidRPr="00C14BA9">
        <w:rPr>
          <w:rFonts w:asciiTheme="minorHAnsi" w:hAnsiTheme="minorHAnsi" w:cstheme="minorHAnsi"/>
          <w:sz w:val="22"/>
          <w:szCs w:val="22"/>
        </w:rPr>
        <w:t>budgetary</w:t>
      </w:r>
      <w:proofErr w:type="spellEnd"/>
      <w:r w:rsidRPr="00C14BA9">
        <w:rPr>
          <w:rFonts w:asciiTheme="minorHAnsi" w:hAnsiTheme="minorHAnsi" w:cstheme="minorHAnsi"/>
          <w:sz w:val="22"/>
          <w:szCs w:val="22"/>
        </w:rPr>
        <w:t xml:space="preserve"> </w:t>
      </w:r>
      <w:proofErr w:type="spellStart"/>
      <w:r w:rsidRPr="00C14BA9">
        <w:rPr>
          <w:rFonts w:asciiTheme="minorHAnsi" w:hAnsiTheme="minorHAnsi" w:cstheme="minorHAnsi"/>
          <w:sz w:val="22"/>
          <w:szCs w:val="22"/>
        </w:rPr>
        <w:t>slack</w:t>
      </w:r>
      <w:proofErr w:type="spellEnd"/>
      <w:r w:rsidRPr="00C14BA9">
        <w:rPr>
          <w:rFonts w:asciiTheme="minorHAnsi" w:hAnsiTheme="minorHAnsi" w:cstheme="minorHAnsi"/>
          <w:sz w:val="22"/>
          <w:szCs w:val="22"/>
        </w:rPr>
        <w:t xml:space="preserve"> notwendig. Der Controller sollte sich auf das Coaching bei der Budgetierung beschränken. Insgesamt sollte die Budgetkontrolle eher als Lernprozess verstanden und die Budgeteinhaltung vom betrieblichen Anreizsystem entkoppelt werden</w:t>
      </w:r>
      <w:r w:rsidR="00EF28F0">
        <w:rPr>
          <w:rFonts w:asciiTheme="minorHAnsi" w:hAnsiTheme="minorHAnsi" w:cstheme="minorHAnsi"/>
          <w:sz w:val="22"/>
          <w:szCs w:val="22"/>
        </w:rPr>
        <w:t>, um das übermäßige Eingehen von Risiken zu vermeiden</w:t>
      </w:r>
      <w:r w:rsidRPr="00C14BA9">
        <w:rPr>
          <w:rFonts w:asciiTheme="minorHAnsi" w:hAnsiTheme="minorHAnsi" w:cstheme="minorHAnsi"/>
          <w:sz w:val="22"/>
          <w:szCs w:val="22"/>
        </w:rPr>
        <w:t>.</w:t>
      </w:r>
    </w:p>
    <w:p w:rsidR="007B6192" w:rsidRDefault="007B6192" w:rsidP="007B6192">
      <w:pPr>
        <w:pStyle w:val="Listenabsatz"/>
        <w:numPr>
          <w:ilvl w:val="0"/>
          <w:numId w:val="3"/>
        </w:numPr>
        <w:spacing w:after="140"/>
        <w:ind w:hanging="425"/>
        <w:rPr>
          <w:rFonts w:asciiTheme="minorHAnsi" w:hAnsiTheme="minorHAnsi" w:cstheme="minorHAnsi"/>
          <w:sz w:val="22"/>
          <w:szCs w:val="22"/>
        </w:rPr>
      </w:pPr>
      <w:r w:rsidRPr="007B6192">
        <w:rPr>
          <w:rFonts w:asciiTheme="minorHAnsi" w:hAnsiTheme="minorHAnsi" w:cstheme="minorHAnsi"/>
          <w:sz w:val="22"/>
          <w:szCs w:val="22"/>
        </w:rPr>
        <w:t>Definieren Sie den Begriff des Anreizsystems und nennen Sie wesentliche Anforderungen an dessen Gestaltung!</w:t>
      </w:r>
    </w:p>
    <w:p w:rsidR="009C3E6E" w:rsidRPr="00CC330E" w:rsidRDefault="00CC330E" w:rsidP="00CC330E">
      <w:pPr>
        <w:spacing w:after="140" w:line="240" w:lineRule="auto"/>
        <w:ind w:left="425"/>
        <w:jc w:val="both"/>
      </w:pPr>
      <w:r>
        <w:t>Antwort: Ein Anreizsystem ist die Summe aller geplanten Anreize, durch deren Gewährung Ziel</w:t>
      </w:r>
      <w:r>
        <w:softHyphen/>
        <w:t xml:space="preserve">konflikte </w:t>
      </w:r>
      <w:r w:rsidR="00ED07BE">
        <w:t xml:space="preserve">und Informationsasymmetrien </w:t>
      </w:r>
      <w:r>
        <w:t xml:space="preserve">abgebaut und die Motivation der Anreizempfänger gesteigert werden sollen. </w:t>
      </w:r>
      <w:r w:rsidR="00ED07BE">
        <w:t xml:space="preserve">Zudem unterstützen Anreizsysteme die Personalselektion. </w:t>
      </w:r>
      <w:r>
        <w:t>Anreiz</w:t>
      </w:r>
      <w:r>
        <w:softHyphen/>
        <w:t xml:space="preserve">systeme sollen die Kriterien der </w:t>
      </w:r>
      <w:proofErr w:type="spellStart"/>
      <w:r>
        <w:t>Controllability</w:t>
      </w:r>
      <w:proofErr w:type="spellEnd"/>
      <w:r>
        <w:t>, Vollständigkeit, Anreizkompatibilität, Risiko</w:t>
      </w:r>
      <w:r>
        <w:softHyphen/>
        <w:t>teilung, Aktualität, intersubjektiven Verifizierbarkeit und Transparenz erfüllen.</w:t>
      </w:r>
    </w:p>
    <w:p w:rsidR="007B6192" w:rsidRDefault="007B6192" w:rsidP="007B6192">
      <w:pPr>
        <w:pStyle w:val="Listenabsatz"/>
        <w:numPr>
          <w:ilvl w:val="0"/>
          <w:numId w:val="3"/>
        </w:numPr>
        <w:spacing w:after="140"/>
        <w:ind w:hanging="425"/>
        <w:rPr>
          <w:rFonts w:asciiTheme="minorHAnsi" w:hAnsiTheme="minorHAnsi" w:cstheme="minorHAnsi"/>
          <w:sz w:val="22"/>
          <w:szCs w:val="22"/>
        </w:rPr>
      </w:pPr>
      <w:r w:rsidRPr="007B6192">
        <w:rPr>
          <w:rFonts w:asciiTheme="minorHAnsi" w:hAnsiTheme="minorHAnsi" w:cstheme="minorHAnsi"/>
          <w:sz w:val="22"/>
          <w:szCs w:val="22"/>
        </w:rPr>
        <w:t>Welche Implikationen lassen sich aus der Prinzipal-Agenten-Theorie und den Motivations</w:t>
      </w:r>
      <w:r w:rsidRPr="007B6192">
        <w:rPr>
          <w:rFonts w:asciiTheme="minorHAnsi" w:hAnsiTheme="minorHAnsi" w:cstheme="minorHAnsi"/>
          <w:sz w:val="22"/>
          <w:szCs w:val="22"/>
        </w:rPr>
        <w:softHyphen/>
        <w:t>theorien für die Gestaltung von Anreizsystemen ableiten?</w:t>
      </w:r>
    </w:p>
    <w:p w:rsidR="00CC330E" w:rsidRPr="007B6192" w:rsidRDefault="00CC330E" w:rsidP="00CC330E">
      <w:pPr>
        <w:pStyle w:val="Listenabsatz"/>
        <w:spacing w:after="140"/>
        <w:ind w:left="425"/>
        <w:rPr>
          <w:rFonts w:asciiTheme="minorHAnsi" w:hAnsiTheme="minorHAnsi" w:cstheme="minorHAnsi"/>
          <w:sz w:val="22"/>
          <w:szCs w:val="22"/>
        </w:rPr>
      </w:pPr>
      <w:r w:rsidRPr="00CC330E">
        <w:rPr>
          <w:rFonts w:ascii="Calibri" w:eastAsia="Calibri" w:hAnsi="Calibri"/>
          <w:sz w:val="22"/>
          <w:szCs w:val="22"/>
          <w:lang w:eastAsia="en-US"/>
        </w:rPr>
        <w:t xml:space="preserve">Antwort: Die Prinzipal-Agenten-Theorie betont die Gewährung von finanziellen </w:t>
      </w:r>
      <w:proofErr w:type="spellStart"/>
      <w:r w:rsidRPr="00CC330E">
        <w:rPr>
          <w:rFonts w:ascii="Calibri" w:eastAsia="Calibri" w:hAnsi="Calibri"/>
          <w:sz w:val="22"/>
          <w:szCs w:val="22"/>
          <w:lang w:eastAsia="en-US"/>
        </w:rPr>
        <w:t>leistungs</w:t>
      </w:r>
      <w:r>
        <w:rPr>
          <w:rFonts w:ascii="Calibri" w:eastAsia="Calibri" w:hAnsi="Calibri"/>
          <w:sz w:val="22"/>
          <w:szCs w:val="22"/>
          <w:lang w:eastAsia="en-US"/>
        </w:rPr>
        <w:softHyphen/>
      </w:r>
      <w:proofErr w:type="spellEnd"/>
      <w:r>
        <w:rPr>
          <w:rFonts w:ascii="Calibri" w:eastAsia="Calibri" w:hAnsi="Calibri"/>
          <w:sz w:val="22"/>
          <w:szCs w:val="22"/>
          <w:lang w:eastAsia="en-US"/>
        </w:rPr>
        <w:t>-</w:t>
      </w:r>
      <w:r w:rsidRPr="00CC330E">
        <w:rPr>
          <w:rFonts w:ascii="Calibri" w:eastAsia="Calibri" w:hAnsi="Calibri"/>
          <w:sz w:val="22"/>
          <w:szCs w:val="22"/>
          <w:lang w:eastAsia="en-US"/>
        </w:rPr>
        <w:t>orientierten Anreizen an den Agenten, um dessen Arbeitseinsatz und damit den Gewinn des Prinzipals zu steigern. Motivationstheorien gehen dagegen von einer vielfältigen individuellen Motivstruktur aus. Eine Steuerung der Leistungsbereitschaft der Anreizempfänger wird nur dann erreicht, wenn deren Motive durch entsprechende Anreize bestmöglich angesprochen werden.</w:t>
      </w:r>
    </w:p>
    <w:p w:rsidR="007B6192" w:rsidRDefault="007B6192" w:rsidP="007B6192">
      <w:pPr>
        <w:pStyle w:val="Listenabsatz"/>
        <w:numPr>
          <w:ilvl w:val="0"/>
          <w:numId w:val="3"/>
        </w:numPr>
        <w:spacing w:after="140"/>
        <w:ind w:hanging="425"/>
        <w:rPr>
          <w:rFonts w:asciiTheme="minorHAnsi" w:hAnsiTheme="minorHAnsi" w:cstheme="minorHAnsi"/>
          <w:sz w:val="22"/>
          <w:szCs w:val="22"/>
        </w:rPr>
      </w:pPr>
      <w:r w:rsidRPr="007B6192">
        <w:rPr>
          <w:rFonts w:asciiTheme="minorHAnsi" w:hAnsiTheme="minorHAnsi" w:cstheme="minorHAnsi"/>
          <w:sz w:val="22"/>
          <w:szCs w:val="22"/>
        </w:rPr>
        <w:t>Welche Dimensionen zur Gestaltung von Anreizsystemen werden unterschieden?</w:t>
      </w:r>
    </w:p>
    <w:p w:rsidR="00CC330E" w:rsidRPr="00CC330E" w:rsidRDefault="00CC330E" w:rsidP="00CC330E">
      <w:pPr>
        <w:spacing w:after="140" w:line="240" w:lineRule="auto"/>
        <w:ind w:left="425"/>
        <w:jc w:val="both"/>
      </w:pPr>
      <w:r>
        <w:t xml:space="preserve">Antwort: Zunächst müssen die Adressaten, d.h. die Anreizempfänger, und die gewährten Anreize festgelegt werden. Anschließend wird bestimmt, durch welche Kennzahlen die Zielerreichung der Adressaten gemessen </w:t>
      </w:r>
      <w:r w:rsidR="00ED07BE">
        <w:t xml:space="preserve">(Bemessungsgrundlagen) </w:t>
      </w:r>
      <w:r>
        <w:t>und wie die Zielerreichung mit der Höhe der gewährten Anreize verknüpft werden sollen</w:t>
      </w:r>
      <w:r w:rsidR="00ED07BE">
        <w:t xml:space="preserve"> ((Anreizfunktion)</w:t>
      </w:r>
      <w:r>
        <w:t>. Außerdem ist der zeitliche Auszahlungs</w:t>
      </w:r>
      <w:r>
        <w:softHyphen/>
        <w:t>modus der Anreize festzulegen.</w:t>
      </w:r>
    </w:p>
    <w:p w:rsidR="007B6192" w:rsidRDefault="007B6192" w:rsidP="007B6192">
      <w:pPr>
        <w:pStyle w:val="Listenabsatz"/>
        <w:numPr>
          <w:ilvl w:val="0"/>
          <w:numId w:val="3"/>
        </w:numPr>
        <w:spacing w:after="140"/>
        <w:ind w:hanging="425"/>
        <w:rPr>
          <w:rFonts w:asciiTheme="minorHAnsi" w:hAnsiTheme="minorHAnsi" w:cstheme="minorHAnsi"/>
          <w:sz w:val="22"/>
          <w:szCs w:val="22"/>
        </w:rPr>
      </w:pPr>
      <w:r w:rsidRPr="007B6192">
        <w:rPr>
          <w:rFonts w:asciiTheme="minorHAnsi" w:hAnsiTheme="minorHAnsi" w:cstheme="minorHAnsi"/>
          <w:sz w:val="22"/>
          <w:szCs w:val="22"/>
        </w:rPr>
        <w:t xml:space="preserve">Charakterisieren Sie den jährlichen Deckungsbeitrag seiner Abteilung als </w:t>
      </w:r>
      <w:r w:rsidR="002251B2">
        <w:rPr>
          <w:rFonts w:asciiTheme="minorHAnsi" w:hAnsiTheme="minorHAnsi" w:cstheme="minorHAnsi"/>
          <w:sz w:val="22"/>
          <w:szCs w:val="22"/>
        </w:rPr>
        <w:t>Bemessungsgrundlage (</w:t>
      </w:r>
      <w:r w:rsidRPr="007B6192">
        <w:rPr>
          <w:rFonts w:asciiTheme="minorHAnsi" w:hAnsiTheme="minorHAnsi" w:cstheme="minorHAnsi"/>
          <w:sz w:val="22"/>
          <w:szCs w:val="22"/>
        </w:rPr>
        <w:t>BMG</w:t>
      </w:r>
      <w:r w:rsidR="002251B2">
        <w:rPr>
          <w:rFonts w:asciiTheme="minorHAnsi" w:hAnsiTheme="minorHAnsi" w:cstheme="minorHAnsi"/>
          <w:sz w:val="22"/>
          <w:szCs w:val="22"/>
        </w:rPr>
        <w:t>)</w:t>
      </w:r>
      <w:r w:rsidRPr="007B6192">
        <w:rPr>
          <w:rFonts w:asciiTheme="minorHAnsi" w:hAnsiTheme="minorHAnsi" w:cstheme="minorHAnsi"/>
          <w:sz w:val="22"/>
          <w:szCs w:val="22"/>
        </w:rPr>
        <w:t xml:space="preserve"> für den Leiter der Fertigungsabteilung eines mittelständischen Unternehmens.</w:t>
      </w:r>
    </w:p>
    <w:p w:rsidR="00CC330E" w:rsidRPr="007B6192" w:rsidRDefault="00CC330E" w:rsidP="00CC330E">
      <w:pPr>
        <w:pStyle w:val="Listenabsatz"/>
        <w:spacing w:after="140"/>
        <w:ind w:left="425"/>
        <w:rPr>
          <w:rFonts w:asciiTheme="minorHAnsi" w:hAnsiTheme="minorHAnsi" w:cstheme="minorHAnsi"/>
          <w:sz w:val="22"/>
          <w:szCs w:val="22"/>
        </w:rPr>
      </w:pPr>
      <w:r w:rsidRPr="00CC330E">
        <w:rPr>
          <w:rFonts w:ascii="Calibri" w:eastAsia="Calibri" w:hAnsi="Calibri"/>
          <w:sz w:val="22"/>
          <w:szCs w:val="22"/>
          <w:lang w:eastAsia="en-US"/>
        </w:rPr>
        <w:t>Antwort: Der Deckungsbeitrag erfüllt das Kriterium der Anreizkompatibilität, da ein höherer Deckungsbeitrag sowohl den Gewinn des Unternehmens wie auch die Höhe der individuellen gewährten Anreize steigert. Zudem ist der Deckungsbeitrag eine transparente BMG. Jedoch ist sie nur eingeschränkt durch den Abteilungsleiter beeinflussbar, da er Einfluss auf die Fertigungskosten jedoch nicht auf den Umsatz hat. Zudem bildet der Deckungsbeitrag nicht sein gesamtes Aufgabenspektrum ab und erfüllt damit nicht das Kriterium der Vollständigkeit.</w:t>
      </w:r>
    </w:p>
    <w:p w:rsidR="007B6192" w:rsidRDefault="007B6192" w:rsidP="007B6192">
      <w:pPr>
        <w:pStyle w:val="Listenabsatz"/>
        <w:numPr>
          <w:ilvl w:val="0"/>
          <w:numId w:val="3"/>
        </w:numPr>
        <w:spacing w:after="140"/>
        <w:ind w:hanging="425"/>
        <w:rPr>
          <w:rFonts w:asciiTheme="minorHAnsi" w:hAnsiTheme="minorHAnsi" w:cstheme="minorHAnsi"/>
          <w:sz w:val="22"/>
          <w:szCs w:val="22"/>
        </w:rPr>
      </w:pPr>
      <w:r w:rsidRPr="007B6192">
        <w:rPr>
          <w:rFonts w:asciiTheme="minorHAnsi" w:hAnsiTheme="minorHAnsi" w:cstheme="minorHAnsi"/>
          <w:sz w:val="22"/>
          <w:szCs w:val="22"/>
        </w:rPr>
        <w:lastRenderedPageBreak/>
        <w:t>Welche Aspekte sind bei der Gestaltung der Anreizfunktion vom Controlling zu beachten?</w:t>
      </w:r>
    </w:p>
    <w:p w:rsidR="00CC330E" w:rsidRPr="007B6192" w:rsidRDefault="00CC330E" w:rsidP="00CC330E">
      <w:pPr>
        <w:pStyle w:val="Listenabsatz"/>
        <w:spacing w:after="140"/>
        <w:ind w:left="425"/>
        <w:rPr>
          <w:rFonts w:asciiTheme="minorHAnsi" w:hAnsiTheme="minorHAnsi" w:cstheme="minorHAnsi"/>
          <w:sz w:val="22"/>
          <w:szCs w:val="22"/>
        </w:rPr>
      </w:pPr>
      <w:r w:rsidRPr="00CC330E">
        <w:rPr>
          <w:rFonts w:ascii="Calibri" w:eastAsia="Calibri" w:hAnsi="Calibri"/>
          <w:sz w:val="22"/>
          <w:szCs w:val="22"/>
          <w:lang w:eastAsia="en-US"/>
        </w:rPr>
        <w:t xml:space="preserve">Antwort: Je komplexer das Aufgabengebiet des Anreizempfängers ist, desto mehr </w:t>
      </w:r>
      <w:proofErr w:type="spellStart"/>
      <w:r w:rsidRPr="00CC330E">
        <w:rPr>
          <w:rFonts w:ascii="Calibri" w:eastAsia="Calibri" w:hAnsi="Calibri"/>
          <w:sz w:val="22"/>
          <w:szCs w:val="22"/>
          <w:lang w:eastAsia="en-US"/>
        </w:rPr>
        <w:t>BMG</w:t>
      </w:r>
      <w:r w:rsidR="002251B2">
        <w:rPr>
          <w:rFonts w:ascii="Calibri" w:eastAsia="Calibri" w:hAnsi="Calibri"/>
          <w:sz w:val="22"/>
          <w:szCs w:val="22"/>
          <w:lang w:eastAsia="en-US"/>
        </w:rPr>
        <w:t>n</w:t>
      </w:r>
      <w:proofErr w:type="spellEnd"/>
      <w:r w:rsidR="002251B2">
        <w:rPr>
          <w:rFonts w:ascii="Calibri" w:eastAsia="Calibri" w:hAnsi="Calibri"/>
          <w:sz w:val="22"/>
          <w:szCs w:val="22"/>
          <w:lang w:eastAsia="en-US"/>
        </w:rPr>
        <w:t xml:space="preserve"> </w:t>
      </w:r>
      <w:r w:rsidRPr="00CC330E">
        <w:rPr>
          <w:rFonts w:ascii="Calibri" w:eastAsia="Calibri" w:hAnsi="Calibri"/>
          <w:sz w:val="22"/>
          <w:szCs w:val="22"/>
          <w:lang w:eastAsia="en-US"/>
        </w:rPr>
        <w:t>sind zur Ermittlung der Zielerreichung heranzuziehen. Allerdings muss auch hier die Anforderung der Transparenz bei der Gestaltung des Anreizsystems beachtet werden. Die Anreizintensität und die Verwendung von Kappungsgrenzen sind mit der Risikokultur des Unternehmen</w:t>
      </w:r>
      <w:r>
        <w:rPr>
          <w:rFonts w:ascii="Calibri" w:eastAsia="Calibri" w:hAnsi="Calibri"/>
          <w:sz w:val="22"/>
          <w:szCs w:val="22"/>
          <w:lang w:eastAsia="en-US"/>
        </w:rPr>
        <w:t>s</w:t>
      </w:r>
      <w:r w:rsidRPr="00CC330E">
        <w:rPr>
          <w:rFonts w:ascii="Calibri" w:eastAsia="Calibri" w:hAnsi="Calibri"/>
          <w:sz w:val="22"/>
          <w:szCs w:val="22"/>
          <w:lang w:eastAsia="en-US"/>
        </w:rPr>
        <w:t xml:space="preserve"> und der Risikoneigung der Anreiz</w:t>
      </w:r>
      <w:r w:rsidRPr="00CC330E">
        <w:rPr>
          <w:rFonts w:ascii="Calibri" w:eastAsia="Calibri" w:hAnsi="Calibri"/>
          <w:sz w:val="22"/>
          <w:szCs w:val="22"/>
          <w:lang w:eastAsia="en-US"/>
        </w:rPr>
        <w:softHyphen/>
        <w:t>empfänger abzustimmen. Je risikofreudiger das Management ist, desto stärker sollte die Steigung der Anreizfunktion und desto größer sollte der Abstand zwischen Cap und Floor sein. Zudem ist auf einen möglichst hohen Bestimmtheitsgrad der Anreizfunktion zu achten.</w:t>
      </w:r>
    </w:p>
    <w:p w:rsidR="007B6192" w:rsidRDefault="007B6192" w:rsidP="007B6192">
      <w:pPr>
        <w:pStyle w:val="Listenabsatz"/>
        <w:numPr>
          <w:ilvl w:val="0"/>
          <w:numId w:val="3"/>
        </w:numPr>
        <w:spacing w:after="140"/>
        <w:ind w:hanging="425"/>
        <w:rPr>
          <w:rFonts w:asciiTheme="minorHAnsi" w:hAnsiTheme="minorHAnsi" w:cstheme="minorHAnsi"/>
          <w:sz w:val="22"/>
          <w:szCs w:val="22"/>
        </w:rPr>
      </w:pPr>
      <w:r w:rsidRPr="007B6192">
        <w:rPr>
          <w:rFonts w:asciiTheme="minorHAnsi" w:hAnsiTheme="minorHAnsi" w:cstheme="minorHAnsi"/>
          <w:sz w:val="22"/>
          <w:szCs w:val="22"/>
        </w:rPr>
        <w:t>Erläutern Sie wesentliche Probleme der Gestaltung von Anreizsystemen!</w:t>
      </w:r>
    </w:p>
    <w:p w:rsidR="00CC330E" w:rsidRPr="007B6192" w:rsidRDefault="00CC330E" w:rsidP="00CC330E">
      <w:pPr>
        <w:pStyle w:val="Listenabsatz"/>
        <w:spacing w:after="140"/>
        <w:ind w:left="428"/>
        <w:rPr>
          <w:rFonts w:asciiTheme="minorHAnsi" w:hAnsiTheme="minorHAnsi" w:cstheme="minorHAnsi"/>
          <w:sz w:val="22"/>
          <w:szCs w:val="22"/>
        </w:rPr>
      </w:pPr>
      <w:r w:rsidRPr="00CC330E">
        <w:rPr>
          <w:rFonts w:ascii="Calibri" w:eastAsia="Calibri" w:hAnsi="Calibri"/>
          <w:sz w:val="22"/>
          <w:szCs w:val="22"/>
          <w:lang w:eastAsia="en-US"/>
        </w:rPr>
        <w:t xml:space="preserve">Antwort: Anreizsysteme gehen von problematischen Annahmen, wie z.B. </w:t>
      </w:r>
      <w:r w:rsidR="00733D57">
        <w:rPr>
          <w:rFonts w:ascii="Calibri" w:eastAsia="Calibri" w:hAnsi="Calibri"/>
          <w:sz w:val="22"/>
          <w:szCs w:val="22"/>
          <w:lang w:eastAsia="en-US"/>
        </w:rPr>
        <w:t>primär</w:t>
      </w:r>
      <w:r w:rsidRPr="00CC330E">
        <w:rPr>
          <w:rFonts w:ascii="Calibri" w:eastAsia="Calibri" w:hAnsi="Calibri"/>
          <w:sz w:val="22"/>
          <w:szCs w:val="22"/>
          <w:lang w:eastAsia="en-US"/>
        </w:rPr>
        <w:t xml:space="preserve"> extrinsisch moti</w:t>
      </w:r>
      <w:r w:rsidRPr="00CC330E">
        <w:rPr>
          <w:rFonts w:ascii="Calibri" w:eastAsia="Calibri" w:hAnsi="Calibri"/>
          <w:sz w:val="22"/>
          <w:szCs w:val="22"/>
          <w:lang w:eastAsia="en-US"/>
        </w:rPr>
        <w:softHyphen/>
        <w:t>vier</w:t>
      </w:r>
      <w:r w:rsidRPr="00CC330E">
        <w:rPr>
          <w:rFonts w:ascii="Calibri" w:eastAsia="Calibri" w:hAnsi="Calibri"/>
          <w:sz w:val="22"/>
          <w:szCs w:val="22"/>
          <w:lang w:eastAsia="en-US"/>
        </w:rPr>
        <w:softHyphen/>
        <w:t>ten, risikoaversen und opportunistischen Anreizempfängern aus. Sie können Gewöh</w:t>
      </w:r>
      <w:r w:rsidRPr="00CC330E">
        <w:rPr>
          <w:rFonts w:ascii="Calibri" w:eastAsia="Calibri" w:hAnsi="Calibri"/>
          <w:sz w:val="22"/>
          <w:szCs w:val="22"/>
          <w:lang w:eastAsia="en-US"/>
        </w:rPr>
        <w:softHyphen/>
        <w:t>nungseffekte bei den Anreizempfängern auslösen, deren intrinsische Motivation zerstören (</w:t>
      </w:r>
      <w:proofErr w:type="spellStart"/>
      <w:r w:rsidRPr="00CC330E">
        <w:rPr>
          <w:rFonts w:ascii="Calibri" w:eastAsia="Calibri" w:hAnsi="Calibri"/>
          <w:sz w:val="22"/>
          <w:szCs w:val="22"/>
          <w:lang w:eastAsia="en-US"/>
        </w:rPr>
        <w:t>Crowding</w:t>
      </w:r>
      <w:proofErr w:type="spellEnd"/>
      <w:r w:rsidRPr="00CC330E">
        <w:rPr>
          <w:rFonts w:ascii="Calibri" w:eastAsia="Calibri" w:hAnsi="Calibri"/>
          <w:sz w:val="22"/>
          <w:szCs w:val="22"/>
          <w:lang w:eastAsia="en-US"/>
        </w:rPr>
        <w:t>-out-Effekt) und dysfunktionale Verhaltensweisen auslösen. Die Verwendung ungeeigneter BMGs kann zu einer Ver</w:t>
      </w:r>
      <w:r w:rsidRPr="00CC330E">
        <w:rPr>
          <w:rFonts w:ascii="Calibri" w:eastAsia="Calibri" w:hAnsi="Calibri"/>
          <w:sz w:val="22"/>
          <w:szCs w:val="22"/>
          <w:lang w:eastAsia="en-US"/>
        </w:rPr>
        <w:softHyphen/>
        <w:t>nachlässigung nicht-</w:t>
      </w:r>
      <w:proofErr w:type="spellStart"/>
      <w:r w:rsidRPr="00CC330E">
        <w:rPr>
          <w:rFonts w:ascii="Calibri" w:eastAsia="Calibri" w:hAnsi="Calibri"/>
          <w:sz w:val="22"/>
          <w:szCs w:val="22"/>
          <w:lang w:eastAsia="en-US"/>
        </w:rPr>
        <w:t>incentivierter</w:t>
      </w:r>
      <w:proofErr w:type="spellEnd"/>
      <w:r w:rsidRPr="00CC330E">
        <w:rPr>
          <w:rFonts w:ascii="Calibri" w:eastAsia="Calibri" w:hAnsi="Calibri"/>
          <w:sz w:val="22"/>
          <w:szCs w:val="22"/>
          <w:lang w:eastAsia="en-US"/>
        </w:rPr>
        <w:t xml:space="preserve"> Aufgabengebiete oder zu sehr kurzfristigen, riskanten Entschei</w:t>
      </w:r>
      <w:r w:rsidRPr="00CC330E">
        <w:rPr>
          <w:rFonts w:ascii="Calibri" w:eastAsia="Calibri" w:hAnsi="Calibri"/>
          <w:sz w:val="22"/>
          <w:szCs w:val="22"/>
          <w:lang w:eastAsia="en-US"/>
        </w:rPr>
        <w:softHyphen/>
        <w:t>dungen führen.</w:t>
      </w:r>
    </w:p>
    <w:p w:rsidR="007B6192" w:rsidRPr="00733D57" w:rsidRDefault="007B6192" w:rsidP="007B6192">
      <w:pPr>
        <w:pStyle w:val="Listenabsatz"/>
        <w:numPr>
          <w:ilvl w:val="0"/>
          <w:numId w:val="3"/>
        </w:numPr>
        <w:overflowPunct/>
        <w:autoSpaceDE/>
        <w:autoSpaceDN/>
        <w:adjustRightInd/>
        <w:spacing w:after="140" w:line="312" w:lineRule="auto"/>
        <w:ind w:hanging="425"/>
        <w:contextualSpacing/>
        <w:jc w:val="left"/>
        <w:textAlignment w:val="auto"/>
        <w:rPr>
          <w:rFonts w:asciiTheme="minorHAnsi" w:hAnsiTheme="minorHAnsi" w:cstheme="minorHAnsi"/>
          <w:sz w:val="22"/>
          <w:szCs w:val="22"/>
        </w:rPr>
      </w:pPr>
      <w:r w:rsidRPr="00733D57">
        <w:rPr>
          <w:rFonts w:asciiTheme="minorHAnsi" w:hAnsiTheme="minorHAnsi" w:cstheme="minorHAnsi"/>
          <w:sz w:val="22"/>
          <w:szCs w:val="22"/>
        </w:rPr>
        <w:t>Worin bestehen die wesentlichen Schwächen traditioneller Kennzahlen?</w:t>
      </w:r>
    </w:p>
    <w:p w:rsidR="00152D7E" w:rsidRPr="00733D57" w:rsidRDefault="00152D7E" w:rsidP="00733D57">
      <w:pPr>
        <w:pStyle w:val="Listenabsatz"/>
        <w:numPr>
          <w:ilvl w:val="0"/>
          <w:numId w:val="16"/>
        </w:numPr>
        <w:overflowPunct/>
        <w:autoSpaceDE/>
        <w:autoSpaceDN/>
        <w:adjustRightInd/>
        <w:ind w:left="714" w:hanging="357"/>
        <w:textAlignment w:val="auto"/>
        <w:rPr>
          <w:rFonts w:ascii="Calibri" w:eastAsia="Calibri" w:hAnsi="Calibri"/>
          <w:sz w:val="22"/>
          <w:szCs w:val="22"/>
          <w:lang w:eastAsia="en-US"/>
        </w:rPr>
      </w:pPr>
      <w:r w:rsidRPr="00733D57">
        <w:rPr>
          <w:rFonts w:ascii="Calibri" w:eastAsia="Calibri" w:hAnsi="Calibri"/>
          <w:sz w:val="22"/>
          <w:szCs w:val="22"/>
          <w:lang w:eastAsia="en-US"/>
        </w:rPr>
        <w:t>Teilweise erhebliche Verzerrungen der Kennzahlen durch die Gewährung von Ansatz- und Bewertungswahlrechten im Jahresabschluss,</w:t>
      </w:r>
    </w:p>
    <w:p w:rsidR="00152D7E" w:rsidRPr="00733D57" w:rsidRDefault="00152D7E" w:rsidP="00733D57">
      <w:pPr>
        <w:pStyle w:val="Listenabsatz"/>
        <w:numPr>
          <w:ilvl w:val="0"/>
          <w:numId w:val="16"/>
        </w:numPr>
        <w:overflowPunct/>
        <w:autoSpaceDE/>
        <w:autoSpaceDN/>
        <w:adjustRightInd/>
        <w:ind w:left="714" w:hanging="357"/>
        <w:textAlignment w:val="auto"/>
        <w:rPr>
          <w:rFonts w:ascii="Calibri" w:eastAsia="Calibri" w:hAnsi="Calibri"/>
          <w:sz w:val="22"/>
          <w:szCs w:val="22"/>
          <w:lang w:eastAsia="en-US"/>
        </w:rPr>
      </w:pPr>
      <w:r w:rsidRPr="00733D57">
        <w:rPr>
          <w:rFonts w:ascii="Calibri" w:eastAsia="Calibri" w:hAnsi="Calibri"/>
          <w:sz w:val="22"/>
          <w:szCs w:val="22"/>
          <w:lang w:eastAsia="en-US"/>
        </w:rPr>
        <w:t>Keine Einbeziehung von Eigenkapitalkosten,</w:t>
      </w:r>
    </w:p>
    <w:p w:rsidR="00152D7E" w:rsidRPr="00733D57" w:rsidRDefault="00733D57" w:rsidP="00733D57">
      <w:pPr>
        <w:pStyle w:val="Listenabsatz"/>
        <w:numPr>
          <w:ilvl w:val="0"/>
          <w:numId w:val="16"/>
        </w:numPr>
        <w:overflowPunct/>
        <w:autoSpaceDE/>
        <w:autoSpaceDN/>
        <w:adjustRightInd/>
        <w:ind w:left="714" w:hanging="357"/>
        <w:textAlignment w:val="auto"/>
        <w:rPr>
          <w:rFonts w:ascii="Calibri" w:eastAsia="Calibri" w:hAnsi="Calibri"/>
          <w:sz w:val="22"/>
          <w:szCs w:val="22"/>
          <w:lang w:eastAsia="en-US"/>
        </w:rPr>
      </w:pPr>
      <w:r>
        <w:rPr>
          <w:rFonts w:ascii="Calibri" w:eastAsia="Calibri" w:hAnsi="Calibri"/>
          <w:sz w:val="22"/>
          <w:szCs w:val="22"/>
          <w:lang w:eastAsia="en-US"/>
        </w:rPr>
        <w:t xml:space="preserve">Keine Berücksichtigung von </w:t>
      </w:r>
      <w:r w:rsidR="00152D7E" w:rsidRPr="00733D57">
        <w:rPr>
          <w:rFonts w:ascii="Calibri" w:eastAsia="Calibri" w:hAnsi="Calibri"/>
          <w:sz w:val="22"/>
          <w:szCs w:val="22"/>
          <w:lang w:eastAsia="en-US"/>
        </w:rPr>
        <w:t>Risiken bei der Gewinnerzielung,</w:t>
      </w:r>
    </w:p>
    <w:p w:rsidR="00152D7E" w:rsidRPr="00733D57" w:rsidRDefault="00733D57" w:rsidP="00733D57">
      <w:pPr>
        <w:pStyle w:val="Listenabsatz"/>
        <w:numPr>
          <w:ilvl w:val="0"/>
          <w:numId w:val="16"/>
        </w:numPr>
        <w:overflowPunct/>
        <w:autoSpaceDE/>
        <w:autoSpaceDN/>
        <w:adjustRightInd/>
        <w:ind w:left="714" w:hanging="357"/>
        <w:textAlignment w:val="auto"/>
        <w:rPr>
          <w:rFonts w:ascii="Calibri" w:eastAsia="Calibri" w:hAnsi="Calibri"/>
          <w:sz w:val="22"/>
          <w:szCs w:val="22"/>
          <w:lang w:eastAsia="en-US"/>
        </w:rPr>
      </w:pPr>
      <w:r>
        <w:rPr>
          <w:rFonts w:ascii="Calibri" w:eastAsia="Calibri" w:hAnsi="Calibri"/>
          <w:sz w:val="22"/>
          <w:szCs w:val="22"/>
          <w:lang w:eastAsia="en-US"/>
        </w:rPr>
        <w:t xml:space="preserve">Vernachlässigung des </w:t>
      </w:r>
      <w:r w:rsidR="00152D7E" w:rsidRPr="00733D57">
        <w:rPr>
          <w:rFonts w:ascii="Calibri" w:eastAsia="Calibri" w:hAnsi="Calibri"/>
          <w:sz w:val="22"/>
          <w:szCs w:val="22"/>
          <w:lang w:eastAsia="en-US"/>
        </w:rPr>
        <w:t>Zeitwert</w:t>
      </w:r>
      <w:r>
        <w:rPr>
          <w:rFonts w:ascii="Calibri" w:eastAsia="Calibri" w:hAnsi="Calibri"/>
          <w:sz w:val="22"/>
          <w:szCs w:val="22"/>
          <w:lang w:eastAsia="en-US"/>
        </w:rPr>
        <w:t>s</w:t>
      </w:r>
      <w:r w:rsidR="00152D7E" w:rsidRPr="00733D57">
        <w:rPr>
          <w:rFonts w:ascii="Calibri" w:eastAsia="Calibri" w:hAnsi="Calibri"/>
          <w:sz w:val="22"/>
          <w:szCs w:val="22"/>
          <w:lang w:eastAsia="en-US"/>
        </w:rPr>
        <w:t xml:space="preserve"> des Geldes sowie zukünftige</w:t>
      </w:r>
      <w:r>
        <w:rPr>
          <w:rFonts w:ascii="Calibri" w:eastAsia="Calibri" w:hAnsi="Calibri"/>
          <w:sz w:val="22"/>
          <w:szCs w:val="22"/>
          <w:lang w:eastAsia="en-US"/>
        </w:rPr>
        <w:t>r</w:t>
      </w:r>
      <w:r w:rsidR="00152D7E" w:rsidRPr="00733D57">
        <w:rPr>
          <w:rFonts w:ascii="Calibri" w:eastAsia="Calibri" w:hAnsi="Calibri"/>
          <w:sz w:val="22"/>
          <w:szCs w:val="22"/>
          <w:lang w:eastAsia="en-US"/>
        </w:rPr>
        <w:t xml:space="preserve"> Erfolge,</w:t>
      </w:r>
    </w:p>
    <w:p w:rsidR="00152D7E" w:rsidRPr="00733D57" w:rsidRDefault="00152D7E" w:rsidP="00733D57">
      <w:pPr>
        <w:pStyle w:val="Listenabsatz"/>
        <w:numPr>
          <w:ilvl w:val="0"/>
          <w:numId w:val="16"/>
        </w:numPr>
        <w:overflowPunct/>
        <w:autoSpaceDE/>
        <w:autoSpaceDN/>
        <w:adjustRightInd/>
        <w:ind w:left="714" w:hanging="357"/>
        <w:textAlignment w:val="auto"/>
        <w:rPr>
          <w:rFonts w:ascii="Calibri" w:eastAsia="Calibri" w:hAnsi="Calibri"/>
          <w:sz w:val="22"/>
          <w:szCs w:val="22"/>
          <w:lang w:eastAsia="en-US"/>
        </w:rPr>
      </w:pPr>
      <w:r w:rsidRPr="00733D57">
        <w:rPr>
          <w:rFonts w:ascii="Calibri" w:eastAsia="Calibri" w:hAnsi="Calibri"/>
          <w:sz w:val="22"/>
          <w:szCs w:val="22"/>
          <w:lang w:eastAsia="en-US"/>
        </w:rPr>
        <w:t xml:space="preserve">Aus Sicht der Eigenkapitalgeber für die Ausschüttung und den Wert des Unternehmens relevante Zahlungsströme bleiben weitgehend unberücksichtigt. </w:t>
      </w:r>
    </w:p>
    <w:p w:rsidR="007B6192" w:rsidRPr="00733D57" w:rsidRDefault="007B6192" w:rsidP="00733D57">
      <w:pPr>
        <w:pStyle w:val="Listenabsatz"/>
        <w:numPr>
          <w:ilvl w:val="0"/>
          <w:numId w:val="3"/>
        </w:numPr>
        <w:overflowPunct/>
        <w:autoSpaceDE/>
        <w:autoSpaceDN/>
        <w:adjustRightInd/>
        <w:ind w:left="431" w:hanging="425"/>
        <w:contextualSpacing/>
        <w:jc w:val="left"/>
        <w:textAlignment w:val="auto"/>
        <w:rPr>
          <w:rFonts w:asciiTheme="minorHAnsi" w:hAnsiTheme="minorHAnsi" w:cstheme="minorHAnsi"/>
          <w:sz w:val="22"/>
          <w:szCs w:val="22"/>
        </w:rPr>
      </w:pPr>
      <w:r w:rsidRPr="00733D57">
        <w:rPr>
          <w:rFonts w:asciiTheme="minorHAnsi" w:hAnsiTheme="minorHAnsi" w:cstheme="minorHAnsi"/>
          <w:sz w:val="22"/>
          <w:szCs w:val="22"/>
        </w:rPr>
        <w:t>Erläutern Sie kurz die Bestimmungsfaktoren des CAPM-Modells. Welche Aussage lässt sich mit</w:t>
      </w:r>
      <w:r w:rsidR="00733D57">
        <w:rPr>
          <w:rFonts w:asciiTheme="minorHAnsi" w:hAnsiTheme="minorHAnsi" w:cstheme="minorHAnsi"/>
          <w:sz w:val="22"/>
          <w:szCs w:val="22"/>
        </w:rPr>
        <w:t xml:space="preserve"> </w:t>
      </w:r>
      <w:r w:rsidRPr="00733D57">
        <w:rPr>
          <w:rFonts w:asciiTheme="minorHAnsi" w:hAnsiTheme="minorHAnsi" w:cstheme="minorHAnsi"/>
          <w:sz w:val="22"/>
          <w:szCs w:val="22"/>
        </w:rPr>
        <w:t>einem Beta</w:t>
      </w:r>
      <w:r w:rsidR="00024A6D" w:rsidRPr="00733D57">
        <w:rPr>
          <w:rFonts w:asciiTheme="minorHAnsi" w:hAnsiTheme="minorHAnsi" w:cstheme="minorHAnsi"/>
          <w:sz w:val="22"/>
          <w:szCs w:val="22"/>
        </w:rPr>
        <w:t>f</w:t>
      </w:r>
      <w:r w:rsidRPr="00733D57">
        <w:rPr>
          <w:rFonts w:asciiTheme="minorHAnsi" w:hAnsiTheme="minorHAnsi" w:cstheme="minorHAnsi"/>
          <w:sz w:val="22"/>
          <w:szCs w:val="22"/>
        </w:rPr>
        <w:t>aktor von 1,8 treffen?</w:t>
      </w:r>
    </w:p>
    <w:p w:rsidR="00152D7E" w:rsidRPr="00733D57" w:rsidRDefault="00152D7E" w:rsidP="00152D7E">
      <w:pPr>
        <w:spacing w:line="312" w:lineRule="auto"/>
        <w:ind w:firstLine="428"/>
        <w:rPr>
          <w:rFonts w:ascii="Calibri" w:eastAsia="Calibri" w:hAnsi="Calibri"/>
        </w:rPr>
      </w:pPr>
      <w:r w:rsidRPr="00733D57">
        <w:rPr>
          <w:rFonts w:ascii="Calibri" w:eastAsia="Calibri" w:hAnsi="Calibri"/>
        </w:rPr>
        <w:t xml:space="preserve">Im Rahmen des CAPM Modells werden die Eigenkapitalkosten </w:t>
      </w:r>
      <w:proofErr w:type="spellStart"/>
      <w:r w:rsidRPr="00733D57">
        <w:rPr>
          <w:rFonts w:ascii="Calibri" w:eastAsia="Calibri" w:hAnsi="Calibri"/>
        </w:rPr>
        <w:t>r</w:t>
      </w:r>
      <w:r w:rsidRPr="00733D57">
        <w:rPr>
          <w:rFonts w:ascii="Calibri" w:eastAsia="Calibri" w:hAnsi="Calibri"/>
          <w:vertAlign w:val="subscript"/>
        </w:rPr>
        <w:t>EK</w:t>
      </w:r>
      <w:proofErr w:type="spellEnd"/>
      <w:r w:rsidRPr="00733D57">
        <w:rPr>
          <w:rFonts w:ascii="Calibri" w:eastAsia="Calibri" w:hAnsi="Calibri"/>
        </w:rPr>
        <w:t xml:space="preserve"> wie folgt ermittelt: </w:t>
      </w:r>
    </w:p>
    <w:p w:rsidR="00152D7E" w:rsidRPr="00733D57" w:rsidRDefault="00152D7E" w:rsidP="00143176">
      <w:pPr>
        <w:ind w:left="428"/>
        <w:rPr>
          <w:rFonts w:ascii="Calibri" w:eastAsia="Calibri" w:hAnsi="Calibri"/>
        </w:rPr>
      </w:pPr>
      <m:oMathPara>
        <m:oMath>
          <m:r>
            <w:rPr>
              <w:rFonts w:ascii="Cambria Math" w:eastAsia="Calibri" w:hAnsi="Cambria Math"/>
            </w:rPr>
            <m:t>rEK</m:t>
          </m:r>
          <m:r>
            <m:rPr>
              <m:sty m:val="p"/>
            </m:rPr>
            <w:rPr>
              <w:rFonts w:ascii="Cambria Math" w:eastAsia="Calibri" w:hAnsi="Cambria Math"/>
            </w:rPr>
            <m:t xml:space="preserve"> = </m:t>
          </m:r>
          <m:r>
            <w:rPr>
              <w:rFonts w:ascii="Cambria Math" w:eastAsia="Calibri" w:hAnsi="Cambria Math"/>
            </w:rPr>
            <m:t>μi</m:t>
          </m:r>
          <m:r>
            <m:rPr>
              <m:sty m:val="p"/>
            </m:rPr>
            <w:rPr>
              <w:rFonts w:ascii="Cambria Math" w:eastAsia="Calibri" w:hAnsi="Cambria Math"/>
            </w:rPr>
            <m:t>=</m:t>
          </m:r>
          <m:r>
            <w:rPr>
              <w:rFonts w:ascii="Cambria Math" w:eastAsia="Calibri" w:hAnsi="Cambria Math"/>
            </w:rPr>
            <m:t>ir</m:t>
          </m:r>
          <m:r>
            <m:rPr>
              <m:sty m:val="p"/>
            </m:rPr>
            <w:rPr>
              <w:rFonts w:ascii="Cambria Math" w:eastAsia="Calibri" w:hAnsi="Cambria Math"/>
            </w:rPr>
            <m:t>+ß</m:t>
          </m:r>
          <m:r>
            <w:rPr>
              <w:rFonts w:ascii="Cambria Math" w:eastAsia="Calibri" w:hAnsi="Cambria Math"/>
            </w:rPr>
            <m:t>i</m:t>
          </m:r>
          <m:r>
            <m:rPr>
              <m:sty m:val="p"/>
            </m:rPr>
            <w:rPr>
              <w:rFonts w:ascii="Cambria Math" w:eastAsia="Calibri" w:hAnsi="Cambria Math"/>
            </w:rPr>
            <m:t>*(</m:t>
          </m:r>
          <m:r>
            <w:rPr>
              <w:rFonts w:ascii="Cambria Math" w:eastAsia="Calibri" w:hAnsi="Cambria Math"/>
            </w:rPr>
            <m:t>μM</m:t>
          </m:r>
          <m:r>
            <m:rPr>
              <m:sty m:val="p"/>
            </m:rPr>
            <w:rPr>
              <w:rFonts w:ascii="Cambria Math" w:eastAsia="Calibri" w:hAnsi="Cambria Math"/>
            </w:rPr>
            <m:t>-</m:t>
          </m:r>
          <m:r>
            <w:rPr>
              <w:rFonts w:ascii="Cambria Math" w:eastAsia="Calibri" w:hAnsi="Cambria Math"/>
            </w:rPr>
            <m:t>ir</m:t>
          </m:r>
          <m:r>
            <m:rPr>
              <m:sty m:val="p"/>
            </m:rPr>
            <w:rPr>
              <w:rFonts w:ascii="Cambria Math" w:eastAsia="Calibri" w:hAnsi="Cambria Math"/>
            </w:rPr>
            <m:t>)</m:t>
          </m:r>
        </m:oMath>
      </m:oMathPara>
    </w:p>
    <w:p w:rsidR="00152D7E" w:rsidRPr="00733D57" w:rsidRDefault="00152D7E" w:rsidP="00152D7E">
      <w:pPr>
        <w:spacing w:after="0"/>
        <w:ind w:left="428"/>
        <w:rPr>
          <w:rFonts w:ascii="Calibri" w:eastAsia="Calibri" w:hAnsi="Calibri"/>
        </w:rPr>
      </w:pPr>
      <w:proofErr w:type="spellStart"/>
      <w:r w:rsidRPr="00733D57">
        <w:rPr>
          <w:rFonts w:ascii="Calibri" w:eastAsia="Calibri" w:hAnsi="Calibri"/>
        </w:rPr>
        <w:t>r</w:t>
      </w:r>
      <w:r w:rsidRPr="00733D57">
        <w:rPr>
          <w:rFonts w:ascii="Calibri" w:eastAsia="Calibri" w:hAnsi="Calibri"/>
          <w:vertAlign w:val="subscript"/>
        </w:rPr>
        <w:t>EK</w:t>
      </w:r>
      <w:proofErr w:type="spellEnd"/>
      <w:r w:rsidRPr="00733D57">
        <w:rPr>
          <w:rFonts w:ascii="Calibri" w:eastAsia="Calibri" w:hAnsi="Calibri"/>
        </w:rPr>
        <w:t xml:space="preserve"> = </w:t>
      </w:r>
      <w:r w:rsidRPr="00733D57">
        <w:sym w:font="Symbol" w:char="F06D"/>
      </w:r>
      <w:r w:rsidRPr="00733D57">
        <w:rPr>
          <w:rFonts w:ascii="Calibri" w:eastAsia="Calibri" w:hAnsi="Calibri"/>
          <w:vertAlign w:val="subscript"/>
        </w:rPr>
        <w:t>i</w:t>
      </w:r>
      <w:r w:rsidRPr="00733D57">
        <w:rPr>
          <w:rFonts w:ascii="Calibri" w:eastAsia="Calibri" w:hAnsi="Calibri"/>
        </w:rPr>
        <w:t xml:space="preserve">  </w:t>
      </w:r>
      <w:r w:rsidRPr="00733D57">
        <w:rPr>
          <w:rFonts w:ascii="Calibri" w:eastAsia="Calibri" w:hAnsi="Calibri"/>
        </w:rPr>
        <w:tab/>
        <w:t xml:space="preserve"> =</w:t>
      </w:r>
      <w:r w:rsidRPr="00733D57">
        <w:rPr>
          <w:rFonts w:ascii="Calibri" w:eastAsia="Calibri" w:hAnsi="Calibri"/>
        </w:rPr>
        <w:tab/>
        <w:t xml:space="preserve">erwartete Eigenkapitalkosten = erwartete Eigenkapitalrendite </w:t>
      </w:r>
    </w:p>
    <w:p w:rsidR="00152D7E" w:rsidRPr="00733D57" w:rsidRDefault="00152D7E" w:rsidP="00152D7E">
      <w:pPr>
        <w:spacing w:after="0"/>
        <w:ind w:left="428"/>
        <w:rPr>
          <w:rFonts w:ascii="Calibri" w:eastAsia="Calibri" w:hAnsi="Calibri"/>
        </w:rPr>
      </w:pPr>
      <w:proofErr w:type="spellStart"/>
      <w:r w:rsidRPr="00733D57">
        <w:rPr>
          <w:rFonts w:ascii="Calibri" w:eastAsia="Calibri" w:hAnsi="Calibri"/>
        </w:rPr>
        <w:t>i</w:t>
      </w:r>
      <w:r w:rsidRPr="00733D57">
        <w:rPr>
          <w:rFonts w:ascii="Calibri" w:eastAsia="Calibri" w:hAnsi="Calibri"/>
          <w:vertAlign w:val="subscript"/>
        </w:rPr>
        <w:t>r</w:t>
      </w:r>
      <w:proofErr w:type="spellEnd"/>
      <w:r w:rsidRPr="00733D57">
        <w:rPr>
          <w:rFonts w:ascii="Calibri" w:eastAsia="Calibri" w:hAnsi="Calibri"/>
        </w:rPr>
        <w:tab/>
      </w:r>
      <w:r w:rsidRPr="00733D57">
        <w:rPr>
          <w:rFonts w:ascii="Calibri" w:eastAsia="Calibri" w:hAnsi="Calibri"/>
        </w:rPr>
        <w:tab/>
        <w:t xml:space="preserve"> =</w:t>
      </w:r>
      <w:r w:rsidRPr="00733D57">
        <w:rPr>
          <w:rFonts w:ascii="Calibri" w:eastAsia="Calibri" w:hAnsi="Calibri"/>
        </w:rPr>
        <w:tab/>
        <w:t xml:space="preserve">risikoloser Zinsfuß (z.B. aktueller Zinssatz für Öffentliche </w:t>
      </w:r>
      <w:proofErr w:type="gramStart"/>
      <w:r w:rsidRPr="00733D57">
        <w:rPr>
          <w:rFonts w:ascii="Calibri" w:eastAsia="Calibri" w:hAnsi="Calibri"/>
        </w:rPr>
        <w:t>Anleihen )</w:t>
      </w:r>
      <w:proofErr w:type="gramEnd"/>
    </w:p>
    <w:p w:rsidR="00152D7E" w:rsidRPr="00733D57" w:rsidRDefault="00152D7E" w:rsidP="00152D7E">
      <w:pPr>
        <w:spacing w:after="0"/>
        <w:ind w:left="428"/>
        <w:rPr>
          <w:rFonts w:ascii="Calibri" w:eastAsia="Calibri" w:hAnsi="Calibri"/>
        </w:rPr>
      </w:pPr>
      <w:r w:rsidRPr="00733D57">
        <w:sym w:font="Symbol" w:char="F062"/>
      </w:r>
      <w:r w:rsidRPr="00733D57">
        <w:rPr>
          <w:rFonts w:ascii="Calibri" w:eastAsia="Calibri" w:hAnsi="Calibri"/>
          <w:vertAlign w:val="subscript"/>
        </w:rPr>
        <w:t>i</w:t>
      </w:r>
      <w:r w:rsidRPr="00733D57">
        <w:rPr>
          <w:rFonts w:ascii="Calibri" w:eastAsia="Calibri" w:hAnsi="Calibri"/>
        </w:rPr>
        <w:t xml:space="preserve"> </w:t>
      </w:r>
      <w:r w:rsidRPr="00733D57">
        <w:rPr>
          <w:rFonts w:ascii="Calibri" w:eastAsia="Calibri" w:hAnsi="Calibri"/>
        </w:rPr>
        <w:tab/>
      </w:r>
      <w:r w:rsidRPr="00733D57">
        <w:rPr>
          <w:rFonts w:ascii="Calibri" w:eastAsia="Calibri" w:hAnsi="Calibri"/>
        </w:rPr>
        <w:tab/>
        <w:t xml:space="preserve"> =</w:t>
      </w:r>
      <w:r w:rsidRPr="00733D57">
        <w:rPr>
          <w:rFonts w:ascii="Calibri" w:eastAsia="Calibri" w:hAnsi="Calibri"/>
        </w:rPr>
        <w:tab/>
        <w:t>Maß für die Risikoklasse des Wertpapiere der zu bewertenden Gesellschaft</w:t>
      </w:r>
    </w:p>
    <w:p w:rsidR="00152D7E" w:rsidRPr="00733D57" w:rsidRDefault="00152D7E" w:rsidP="00152D7E">
      <w:pPr>
        <w:spacing w:after="0"/>
        <w:ind w:left="1518" w:hanging="1090"/>
        <w:rPr>
          <w:rFonts w:ascii="Calibri" w:eastAsia="Calibri" w:hAnsi="Calibri"/>
        </w:rPr>
      </w:pPr>
      <w:r w:rsidRPr="00733D57">
        <w:sym w:font="Symbol" w:char="F06D"/>
      </w:r>
      <w:r w:rsidRPr="00733D57">
        <w:rPr>
          <w:rFonts w:ascii="Calibri" w:eastAsia="Calibri" w:hAnsi="Calibri"/>
          <w:vertAlign w:val="subscript"/>
        </w:rPr>
        <w:t>M</w:t>
      </w:r>
      <w:r w:rsidRPr="00733D57">
        <w:rPr>
          <w:rFonts w:ascii="Calibri" w:eastAsia="Calibri" w:hAnsi="Calibri"/>
        </w:rPr>
        <w:t xml:space="preserve"> </w:t>
      </w:r>
      <w:r w:rsidRPr="00733D57">
        <w:rPr>
          <w:rFonts w:ascii="Calibri" w:eastAsia="Calibri" w:hAnsi="Calibri"/>
        </w:rPr>
        <w:tab/>
        <w:t>=</w:t>
      </w:r>
      <w:r w:rsidRPr="00733D57">
        <w:rPr>
          <w:rFonts w:ascii="Calibri" w:eastAsia="Calibri" w:hAnsi="Calibri"/>
        </w:rPr>
        <w:tab/>
        <w:t xml:space="preserve">Erwartungswert der Rendite des Marktportfolios (in Anlehnung an die </w:t>
      </w:r>
      <w:r w:rsidRPr="00733D57">
        <w:rPr>
          <w:rFonts w:ascii="Calibri" w:eastAsia="Calibri" w:hAnsi="Calibri"/>
        </w:rPr>
        <w:tab/>
        <w:t>Entwicklung eines Marktindex, z.B. DAX)</w:t>
      </w:r>
    </w:p>
    <w:p w:rsidR="00152D7E" w:rsidRPr="00733D57" w:rsidRDefault="00152D7E" w:rsidP="00152D7E">
      <w:pPr>
        <w:spacing w:after="0"/>
        <w:ind w:left="428"/>
        <w:rPr>
          <w:rFonts w:ascii="Calibri" w:eastAsia="Calibri" w:hAnsi="Calibri"/>
        </w:rPr>
      </w:pPr>
      <w:r w:rsidRPr="00733D57">
        <w:rPr>
          <w:rFonts w:ascii="Calibri" w:eastAsia="Calibri" w:hAnsi="Calibri"/>
        </w:rPr>
        <w:t>(</w:t>
      </w:r>
      <w:r w:rsidRPr="00733D57">
        <w:sym w:font="Symbol" w:char="F06D"/>
      </w:r>
      <w:r w:rsidRPr="00733D57">
        <w:rPr>
          <w:rFonts w:ascii="Calibri" w:eastAsia="Calibri" w:hAnsi="Calibri"/>
          <w:vertAlign w:val="subscript"/>
        </w:rPr>
        <w:t>M</w:t>
      </w:r>
      <w:r w:rsidRPr="00733D57">
        <w:rPr>
          <w:rFonts w:ascii="Calibri" w:eastAsia="Calibri" w:hAnsi="Calibri"/>
        </w:rPr>
        <w:t>-</w:t>
      </w:r>
      <w:proofErr w:type="spellStart"/>
      <w:r w:rsidRPr="00733D57">
        <w:rPr>
          <w:rFonts w:ascii="Calibri" w:eastAsia="Calibri" w:hAnsi="Calibri"/>
        </w:rPr>
        <w:t>i</w:t>
      </w:r>
      <w:r w:rsidRPr="00733D57">
        <w:rPr>
          <w:rFonts w:ascii="Calibri" w:eastAsia="Calibri" w:hAnsi="Calibri"/>
          <w:vertAlign w:val="subscript"/>
        </w:rPr>
        <w:t>r</w:t>
      </w:r>
      <w:proofErr w:type="spellEnd"/>
      <w:r w:rsidRPr="00733D57">
        <w:rPr>
          <w:rFonts w:ascii="Calibri" w:eastAsia="Calibri" w:hAnsi="Calibri"/>
        </w:rPr>
        <w:t xml:space="preserve">) </w:t>
      </w:r>
      <w:r w:rsidRPr="00733D57">
        <w:rPr>
          <w:rFonts w:ascii="Calibri" w:eastAsia="Calibri" w:hAnsi="Calibri"/>
        </w:rPr>
        <w:tab/>
        <w:t xml:space="preserve"> =</w:t>
      </w:r>
      <w:r w:rsidRPr="00733D57">
        <w:rPr>
          <w:rFonts w:ascii="Calibri" w:eastAsia="Calibri" w:hAnsi="Calibri"/>
        </w:rPr>
        <w:tab/>
        <w:t xml:space="preserve">„Risikoprämie“ bei Investition in das riskante Marktportfolio statt in risikolose </w:t>
      </w:r>
    </w:p>
    <w:p w:rsidR="00152D7E" w:rsidRPr="00733D57" w:rsidRDefault="00152D7E" w:rsidP="00152D7E">
      <w:pPr>
        <w:spacing w:after="0"/>
        <w:ind w:left="428"/>
        <w:rPr>
          <w:rFonts w:ascii="Calibri" w:eastAsia="Calibri" w:hAnsi="Calibri"/>
        </w:rPr>
      </w:pPr>
      <w:r w:rsidRPr="00733D57">
        <w:rPr>
          <w:rFonts w:ascii="Calibri" w:eastAsia="Calibri" w:hAnsi="Calibri"/>
        </w:rPr>
        <w:tab/>
      </w:r>
      <w:r w:rsidRPr="00733D57">
        <w:rPr>
          <w:rFonts w:ascii="Calibri" w:eastAsia="Calibri" w:hAnsi="Calibri"/>
        </w:rPr>
        <w:tab/>
      </w:r>
      <w:r w:rsidRPr="00733D57">
        <w:rPr>
          <w:rFonts w:ascii="Calibri" w:eastAsia="Calibri" w:hAnsi="Calibri"/>
        </w:rPr>
        <w:tab/>
        <w:t>Wertpapiere</w:t>
      </w:r>
    </w:p>
    <w:p w:rsidR="00152D7E" w:rsidRPr="00733D57" w:rsidRDefault="00152D7E" w:rsidP="00152D7E">
      <w:pPr>
        <w:spacing w:after="0"/>
        <w:ind w:left="428"/>
        <w:rPr>
          <w:rFonts w:ascii="Calibri" w:eastAsia="Calibri" w:hAnsi="Calibri"/>
        </w:rPr>
      </w:pPr>
    </w:p>
    <w:p w:rsidR="00152D7E" w:rsidRPr="00733D57" w:rsidRDefault="00152D7E" w:rsidP="00733D57">
      <w:pPr>
        <w:pStyle w:val="Listenabsatz"/>
        <w:ind w:left="425"/>
        <w:rPr>
          <w:rFonts w:ascii="Calibri" w:eastAsia="Calibri" w:hAnsi="Calibri"/>
          <w:sz w:val="22"/>
          <w:szCs w:val="22"/>
          <w:lang w:eastAsia="en-US"/>
        </w:rPr>
      </w:pPr>
      <w:r w:rsidRPr="00733D57">
        <w:rPr>
          <w:rFonts w:ascii="Calibri" w:eastAsia="Calibri" w:hAnsi="Calibri"/>
          <w:sz w:val="22"/>
          <w:szCs w:val="22"/>
          <w:lang w:eastAsia="en-US"/>
        </w:rPr>
        <w:t xml:space="preserve">Ein Beta-Faktor von 1,8 sagt aus, dass bei einer Änderung des Marktportfolios um 10%, der Kurs der entsprechenden Aktie im Durchschnitt um 18% gestiegen bzw. gefallen ist. Die betreffende Aktie reagiert somit - im Vergleich zum Marktportfolio - überproportional auf Veränderungen des Gesamtmarkts (Zinsänderungen, konjunkturelle Schwankungen, politische und wirtschaftliche Veränderungen). </w:t>
      </w:r>
    </w:p>
    <w:p w:rsidR="007B6192" w:rsidRPr="00733D57" w:rsidRDefault="007B6192" w:rsidP="007B6192">
      <w:pPr>
        <w:pStyle w:val="Listenabsatz"/>
        <w:numPr>
          <w:ilvl w:val="0"/>
          <w:numId w:val="3"/>
        </w:numPr>
        <w:overflowPunct/>
        <w:autoSpaceDE/>
        <w:autoSpaceDN/>
        <w:adjustRightInd/>
        <w:spacing w:after="140" w:line="312" w:lineRule="auto"/>
        <w:ind w:hanging="425"/>
        <w:contextualSpacing/>
        <w:jc w:val="left"/>
        <w:textAlignment w:val="auto"/>
        <w:rPr>
          <w:rFonts w:asciiTheme="minorHAnsi" w:hAnsiTheme="minorHAnsi" w:cstheme="minorHAnsi"/>
          <w:sz w:val="22"/>
          <w:szCs w:val="22"/>
        </w:rPr>
      </w:pPr>
      <w:r w:rsidRPr="00733D57">
        <w:rPr>
          <w:rFonts w:asciiTheme="minorHAnsi" w:hAnsiTheme="minorHAnsi" w:cstheme="minorHAnsi"/>
          <w:sz w:val="22"/>
          <w:szCs w:val="22"/>
        </w:rPr>
        <w:t>Ermitteln Sie die Eigenkapitalkosten gemäß CAPM für folgende Unternehmen:</w:t>
      </w:r>
    </w:p>
    <w:tbl>
      <w:tblPr>
        <w:tblW w:w="0" w:type="auto"/>
        <w:jc w:val="center"/>
        <w:tblLook w:val="04A0" w:firstRow="1" w:lastRow="0" w:firstColumn="1" w:lastColumn="0" w:noHBand="0" w:noVBand="1"/>
      </w:tblPr>
      <w:tblGrid>
        <w:gridCol w:w="1985"/>
        <w:gridCol w:w="3544"/>
      </w:tblGrid>
      <w:tr w:rsidR="00733D57" w:rsidRPr="00733D57" w:rsidTr="007B6192">
        <w:trPr>
          <w:jc w:val="center"/>
        </w:trPr>
        <w:tc>
          <w:tcPr>
            <w:tcW w:w="1985" w:type="dxa"/>
            <w:vAlign w:val="center"/>
          </w:tcPr>
          <w:p w:rsidR="007B6192" w:rsidRPr="00733D57" w:rsidRDefault="007B6192" w:rsidP="007B6192">
            <w:pPr>
              <w:spacing w:after="140"/>
              <w:ind w:hanging="425"/>
              <w:contextualSpacing/>
              <w:jc w:val="center"/>
              <w:rPr>
                <w:rFonts w:cstheme="minorHAnsi"/>
                <w:b/>
              </w:rPr>
            </w:pPr>
            <w:r w:rsidRPr="00733D57">
              <w:rPr>
                <w:rFonts w:cstheme="minorHAnsi"/>
                <w:b/>
              </w:rPr>
              <w:t>Unternehmen</w:t>
            </w:r>
          </w:p>
        </w:tc>
        <w:tc>
          <w:tcPr>
            <w:tcW w:w="3544" w:type="dxa"/>
            <w:vAlign w:val="center"/>
          </w:tcPr>
          <w:p w:rsidR="007B6192" w:rsidRPr="00733D57" w:rsidRDefault="007B6192" w:rsidP="007B6192">
            <w:pPr>
              <w:spacing w:after="140"/>
              <w:ind w:hanging="425"/>
              <w:contextualSpacing/>
              <w:jc w:val="center"/>
              <w:rPr>
                <w:rFonts w:cstheme="minorHAnsi"/>
                <w:b/>
              </w:rPr>
            </w:pPr>
            <w:r w:rsidRPr="00733D57">
              <w:rPr>
                <w:rFonts w:cstheme="minorHAnsi"/>
                <w:b/>
              </w:rPr>
              <w:t>Beta</w:t>
            </w:r>
            <w:r w:rsidR="00024A6D" w:rsidRPr="00733D57">
              <w:rPr>
                <w:rFonts w:cstheme="minorHAnsi"/>
                <w:b/>
              </w:rPr>
              <w:t>f</w:t>
            </w:r>
            <w:r w:rsidRPr="00733D57">
              <w:rPr>
                <w:rFonts w:cstheme="minorHAnsi"/>
                <w:b/>
              </w:rPr>
              <w:t>aktor (1 Jahr) am 31.05.19</w:t>
            </w:r>
          </w:p>
        </w:tc>
      </w:tr>
      <w:tr w:rsidR="00733D57" w:rsidRPr="00733D57" w:rsidTr="007B6192">
        <w:trPr>
          <w:jc w:val="center"/>
        </w:trPr>
        <w:tc>
          <w:tcPr>
            <w:tcW w:w="1985" w:type="dxa"/>
            <w:vAlign w:val="center"/>
          </w:tcPr>
          <w:p w:rsidR="007B6192" w:rsidRPr="00733D57" w:rsidRDefault="007B6192" w:rsidP="006E1CDB">
            <w:pPr>
              <w:spacing w:after="140"/>
              <w:ind w:hanging="425"/>
              <w:contextualSpacing/>
              <w:jc w:val="center"/>
              <w:rPr>
                <w:rFonts w:cstheme="minorHAnsi"/>
              </w:rPr>
            </w:pPr>
            <w:r w:rsidRPr="00733D57">
              <w:rPr>
                <w:rFonts w:cstheme="minorHAnsi"/>
              </w:rPr>
              <w:t>BMW</w:t>
            </w:r>
          </w:p>
        </w:tc>
        <w:tc>
          <w:tcPr>
            <w:tcW w:w="3544" w:type="dxa"/>
            <w:vAlign w:val="center"/>
          </w:tcPr>
          <w:p w:rsidR="007B6192" w:rsidRPr="00733D57" w:rsidRDefault="007B6192" w:rsidP="007B6192">
            <w:pPr>
              <w:spacing w:after="140"/>
              <w:ind w:hanging="425"/>
              <w:contextualSpacing/>
              <w:jc w:val="center"/>
              <w:rPr>
                <w:rFonts w:cstheme="minorHAnsi"/>
              </w:rPr>
            </w:pPr>
            <w:r w:rsidRPr="00733D57">
              <w:rPr>
                <w:rFonts w:cstheme="minorHAnsi"/>
              </w:rPr>
              <w:t>1,0144</w:t>
            </w:r>
          </w:p>
        </w:tc>
      </w:tr>
      <w:tr w:rsidR="00733D57" w:rsidRPr="00733D57" w:rsidTr="007B6192">
        <w:trPr>
          <w:jc w:val="center"/>
        </w:trPr>
        <w:tc>
          <w:tcPr>
            <w:tcW w:w="1985" w:type="dxa"/>
            <w:vAlign w:val="center"/>
          </w:tcPr>
          <w:p w:rsidR="007B6192" w:rsidRPr="00733D57" w:rsidRDefault="007B6192" w:rsidP="006E1CDB">
            <w:pPr>
              <w:spacing w:after="140"/>
              <w:ind w:hanging="425"/>
              <w:contextualSpacing/>
              <w:jc w:val="center"/>
              <w:rPr>
                <w:rFonts w:cstheme="minorHAnsi"/>
              </w:rPr>
            </w:pPr>
            <w:r w:rsidRPr="00733D57">
              <w:rPr>
                <w:rFonts w:cstheme="minorHAnsi"/>
              </w:rPr>
              <w:lastRenderedPageBreak/>
              <w:t>Wirecard</w:t>
            </w:r>
          </w:p>
        </w:tc>
        <w:tc>
          <w:tcPr>
            <w:tcW w:w="3544" w:type="dxa"/>
            <w:vAlign w:val="center"/>
          </w:tcPr>
          <w:p w:rsidR="007B6192" w:rsidRPr="00733D57" w:rsidRDefault="007B6192" w:rsidP="007B6192">
            <w:pPr>
              <w:spacing w:after="140"/>
              <w:ind w:hanging="425"/>
              <w:contextualSpacing/>
              <w:jc w:val="center"/>
              <w:rPr>
                <w:rFonts w:cstheme="minorHAnsi"/>
              </w:rPr>
            </w:pPr>
            <w:r w:rsidRPr="00733D57">
              <w:rPr>
                <w:rFonts w:cstheme="minorHAnsi"/>
              </w:rPr>
              <w:t>1,9533</w:t>
            </w:r>
          </w:p>
        </w:tc>
      </w:tr>
      <w:tr w:rsidR="00733D57" w:rsidRPr="00733D57" w:rsidTr="007B6192">
        <w:trPr>
          <w:jc w:val="center"/>
        </w:trPr>
        <w:tc>
          <w:tcPr>
            <w:tcW w:w="1985" w:type="dxa"/>
            <w:vAlign w:val="center"/>
          </w:tcPr>
          <w:p w:rsidR="007B6192" w:rsidRPr="00733D57" w:rsidRDefault="007B6192" w:rsidP="006E1CDB">
            <w:pPr>
              <w:spacing w:after="140"/>
              <w:ind w:hanging="425"/>
              <w:contextualSpacing/>
              <w:jc w:val="center"/>
              <w:rPr>
                <w:rFonts w:cstheme="minorHAnsi"/>
              </w:rPr>
            </w:pPr>
            <w:r w:rsidRPr="00733D57">
              <w:rPr>
                <w:rFonts w:cstheme="minorHAnsi"/>
              </w:rPr>
              <w:t>Merck</w:t>
            </w:r>
          </w:p>
        </w:tc>
        <w:tc>
          <w:tcPr>
            <w:tcW w:w="3544" w:type="dxa"/>
            <w:vAlign w:val="center"/>
          </w:tcPr>
          <w:p w:rsidR="007B6192" w:rsidRPr="00733D57" w:rsidRDefault="007B6192" w:rsidP="007B6192">
            <w:pPr>
              <w:spacing w:after="140"/>
              <w:ind w:hanging="425"/>
              <w:contextualSpacing/>
              <w:jc w:val="center"/>
              <w:rPr>
                <w:rFonts w:cstheme="minorHAnsi"/>
              </w:rPr>
            </w:pPr>
            <w:r w:rsidRPr="00733D57">
              <w:rPr>
                <w:rFonts w:cstheme="minorHAnsi"/>
              </w:rPr>
              <w:t>0,5287</w:t>
            </w:r>
          </w:p>
        </w:tc>
      </w:tr>
    </w:tbl>
    <w:p w:rsidR="007B6192" w:rsidRPr="00733D57" w:rsidRDefault="007B6192" w:rsidP="007B6192">
      <w:pPr>
        <w:spacing w:after="140" w:line="312" w:lineRule="auto"/>
        <w:ind w:left="709" w:hanging="425"/>
        <w:contextualSpacing/>
        <w:rPr>
          <w:rFonts w:cstheme="minorHAnsi"/>
        </w:rPr>
      </w:pPr>
    </w:p>
    <w:p w:rsidR="007B6192" w:rsidRPr="00733D57" w:rsidRDefault="007B6192" w:rsidP="007B6192">
      <w:pPr>
        <w:spacing w:after="140" w:line="312" w:lineRule="auto"/>
        <w:ind w:left="709" w:hanging="425"/>
        <w:contextualSpacing/>
        <w:rPr>
          <w:rFonts w:cstheme="minorHAnsi"/>
        </w:rPr>
      </w:pPr>
      <w:r w:rsidRPr="00733D57">
        <w:rPr>
          <w:rFonts w:cstheme="minorHAnsi"/>
        </w:rPr>
        <w:t xml:space="preserve">Legen Sie dabei einen </w:t>
      </w:r>
      <w:r w:rsidR="00024A6D" w:rsidRPr="00733D57">
        <w:rPr>
          <w:rFonts w:cstheme="minorHAnsi"/>
        </w:rPr>
        <w:t>r</w:t>
      </w:r>
      <w:r w:rsidRPr="00733D57">
        <w:rPr>
          <w:rFonts w:cstheme="minorHAnsi"/>
        </w:rPr>
        <w:t>isikolosen Zins von 3% und eine Marktrendite von 9% zugrunde!</w:t>
      </w:r>
    </w:p>
    <w:p w:rsidR="006E1CDB" w:rsidRPr="00733D57" w:rsidRDefault="006E1CDB" w:rsidP="006E1CDB">
      <w:pPr>
        <w:spacing w:after="140" w:line="312" w:lineRule="auto"/>
        <w:ind w:left="709" w:hanging="1"/>
        <w:contextualSpacing/>
        <w:rPr>
          <w:rFonts w:ascii="Calibri" w:eastAsia="Calibri" w:hAnsi="Calibri"/>
        </w:rPr>
      </w:pPr>
      <w:r w:rsidRPr="00733D57">
        <w:sym w:font="Symbol" w:char="F06D"/>
      </w:r>
      <w:r w:rsidRPr="00733D57">
        <w:rPr>
          <w:rFonts w:ascii="Calibri" w:eastAsia="Calibri" w:hAnsi="Calibri"/>
          <w:vertAlign w:val="subscript"/>
        </w:rPr>
        <w:t>BMW</w:t>
      </w:r>
      <w:r w:rsidRPr="00733D57">
        <w:rPr>
          <w:rFonts w:ascii="Calibri" w:eastAsia="Calibri" w:hAnsi="Calibri"/>
        </w:rPr>
        <w:t xml:space="preserve"> </w:t>
      </w:r>
      <w:r w:rsidRPr="00733D57">
        <w:rPr>
          <w:rFonts w:ascii="Calibri" w:eastAsia="Calibri" w:hAnsi="Calibri"/>
        </w:rPr>
        <w:tab/>
        <w:t xml:space="preserve"> =</w:t>
      </w:r>
      <w:r w:rsidRPr="00733D57">
        <w:rPr>
          <w:rFonts w:ascii="Calibri" w:eastAsia="Calibri" w:hAnsi="Calibri"/>
        </w:rPr>
        <w:tab/>
        <w:t>3% + 1,0144 * (9% - 3%)</w:t>
      </w:r>
      <w:r w:rsidRPr="00733D57">
        <w:rPr>
          <w:rFonts w:ascii="Calibri" w:eastAsia="Calibri" w:hAnsi="Calibri"/>
        </w:rPr>
        <w:tab/>
        <w:t>=</w:t>
      </w:r>
      <w:r w:rsidRPr="00733D57">
        <w:rPr>
          <w:rFonts w:ascii="Calibri" w:eastAsia="Calibri" w:hAnsi="Calibri"/>
        </w:rPr>
        <w:tab/>
        <w:t xml:space="preserve">   9,0864%</w:t>
      </w:r>
    </w:p>
    <w:p w:rsidR="006E1CDB" w:rsidRPr="00733D57" w:rsidRDefault="006E1CDB" w:rsidP="006E1CDB">
      <w:pPr>
        <w:spacing w:after="140" w:line="312" w:lineRule="auto"/>
        <w:ind w:left="709" w:hanging="1"/>
        <w:contextualSpacing/>
        <w:rPr>
          <w:rFonts w:ascii="Calibri" w:eastAsia="Calibri" w:hAnsi="Calibri"/>
        </w:rPr>
      </w:pPr>
      <w:r w:rsidRPr="00733D57">
        <w:sym w:font="Symbol" w:char="F06D"/>
      </w:r>
      <w:r w:rsidRPr="00733D57">
        <w:rPr>
          <w:vertAlign w:val="subscript"/>
        </w:rPr>
        <w:t>Wirecard</w:t>
      </w:r>
      <w:r w:rsidRPr="00733D57">
        <w:rPr>
          <w:rFonts w:ascii="Calibri" w:eastAsia="Calibri" w:hAnsi="Calibri"/>
        </w:rPr>
        <w:t xml:space="preserve"> </w:t>
      </w:r>
      <w:r w:rsidRPr="00733D57">
        <w:rPr>
          <w:rFonts w:ascii="Calibri" w:eastAsia="Calibri" w:hAnsi="Calibri"/>
        </w:rPr>
        <w:tab/>
        <w:t xml:space="preserve"> =</w:t>
      </w:r>
      <w:r w:rsidRPr="00733D57">
        <w:rPr>
          <w:rFonts w:ascii="Calibri" w:eastAsia="Calibri" w:hAnsi="Calibri"/>
        </w:rPr>
        <w:tab/>
        <w:t>3% + 1,9533 * (9% - 3%)</w:t>
      </w:r>
      <w:r w:rsidRPr="00733D57">
        <w:rPr>
          <w:rFonts w:ascii="Calibri" w:eastAsia="Calibri" w:hAnsi="Calibri"/>
        </w:rPr>
        <w:tab/>
        <w:t>=</w:t>
      </w:r>
      <w:r w:rsidRPr="00733D57">
        <w:rPr>
          <w:rFonts w:ascii="Calibri" w:eastAsia="Calibri" w:hAnsi="Calibri"/>
        </w:rPr>
        <w:tab/>
        <w:t xml:space="preserve"> 14,7198%</w:t>
      </w:r>
    </w:p>
    <w:p w:rsidR="006E1CDB" w:rsidRPr="00733D57" w:rsidRDefault="006E1CDB" w:rsidP="006E1CDB">
      <w:pPr>
        <w:spacing w:after="140" w:line="312" w:lineRule="auto"/>
        <w:ind w:left="709" w:hanging="1"/>
        <w:contextualSpacing/>
        <w:rPr>
          <w:rFonts w:ascii="Calibri" w:eastAsia="Calibri" w:hAnsi="Calibri"/>
        </w:rPr>
      </w:pPr>
      <w:r w:rsidRPr="00733D57">
        <w:sym w:font="Symbol" w:char="F06D"/>
      </w:r>
      <w:r w:rsidRPr="00733D57">
        <w:rPr>
          <w:rFonts w:ascii="Calibri" w:eastAsia="Calibri" w:hAnsi="Calibri"/>
          <w:vertAlign w:val="subscript"/>
        </w:rPr>
        <w:t>Merck</w:t>
      </w:r>
      <w:r w:rsidRPr="00733D57">
        <w:rPr>
          <w:rFonts w:ascii="Calibri" w:eastAsia="Calibri" w:hAnsi="Calibri"/>
        </w:rPr>
        <w:t xml:space="preserve"> </w:t>
      </w:r>
      <w:r w:rsidRPr="00733D57">
        <w:rPr>
          <w:rFonts w:ascii="Calibri" w:eastAsia="Calibri" w:hAnsi="Calibri"/>
        </w:rPr>
        <w:tab/>
        <w:t xml:space="preserve"> =</w:t>
      </w:r>
      <w:r w:rsidRPr="00733D57">
        <w:rPr>
          <w:rFonts w:ascii="Calibri" w:eastAsia="Calibri" w:hAnsi="Calibri"/>
        </w:rPr>
        <w:tab/>
        <w:t>3% + 0,5287 * (9% - 3%)</w:t>
      </w:r>
      <w:r w:rsidRPr="00733D57">
        <w:rPr>
          <w:rFonts w:ascii="Calibri" w:eastAsia="Calibri" w:hAnsi="Calibri"/>
        </w:rPr>
        <w:tab/>
        <w:t>=</w:t>
      </w:r>
      <w:r w:rsidRPr="00733D57">
        <w:rPr>
          <w:rFonts w:ascii="Calibri" w:eastAsia="Calibri" w:hAnsi="Calibri"/>
        </w:rPr>
        <w:tab/>
        <w:t xml:space="preserve">   6,1722%</w:t>
      </w:r>
    </w:p>
    <w:p w:rsidR="006E1CDB" w:rsidRPr="00733D57" w:rsidRDefault="006E1CDB" w:rsidP="006E1CDB">
      <w:pPr>
        <w:spacing w:after="140" w:line="312" w:lineRule="auto"/>
        <w:ind w:left="709" w:hanging="425"/>
        <w:contextualSpacing/>
        <w:rPr>
          <w:rFonts w:ascii="Calibri" w:eastAsia="Calibri" w:hAnsi="Calibri"/>
        </w:rPr>
      </w:pPr>
    </w:p>
    <w:p w:rsidR="006E1CDB" w:rsidRPr="00733D57" w:rsidRDefault="006E1CDB" w:rsidP="00733D57">
      <w:pPr>
        <w:spacing w:after="140" w:line="240" w:lineRule="auto"/>
        <w:ind w:left="568" w:hanging="284"/>
        <w:contextualSpacing/>
        <w:rPr>
          <w:rFonts w:cstheme="minorHAnsi"/>
        </w:rPr>
      </w:pPr>
      <w:r w:rsidRPr="00733D57">
        <w:rPr>
          <w:rFonts w:cstheme="minorHAnsi"/>
        </w:rPr>
        <w:t>Die Beispiele zeigen, dass ein höherer Beta-Faktor ein höheres systematisches Risiko und damit auch</w:t>
      </w:r>
      <w:r w:rsidR="00733D57" w:rsidRPr="00733D57">
        <w:rPr>
          <w:rFonts w:cstheme="minorHAnsi"/>
        </w:rPr>
        <w:t xml:space="preserve"> </w:t>
      </w:r>
      <w:r w:rsidRPr="00733D57">
        <w:rPr>
          <w:rFonts w:cstheme="minorHAnsi"/>
        </w:rPr>
        <w:t xml:space="preserve">höhere erwartete Eigenkapitalkosten impliziert. </w:t>
      </w:r>
    </w:p>
    <w:p w:rsidR="006E1CDB" w:rsidRPr="00733D57" w:rsidRDefault="006E1CDB" w:rsidP="00733D57">
      <w:pPr>
        <w:spacing w:after="140" w:line="240" w:lineRule="auto"/>
        <w:ind w:left="568" w:hanging="284"/>
        <w:contextualSpacing/>
        <w:rPr>
          <w:rFonts w:cstheme="minorHAnsi"/>
        </w:rPr>
      </w:pPr>
    </w:p>
    <w:p w:rsidR="00594993" w:rsidRPr="00733D57" w:rsidRDefault="007B6192" w:rsidP="00EF28F0">
      <w:pPr>
        <w:pStyle w:val="Listenabsatz"/>
        <w:numPr>
          <w:ilvl w:val="0"/>
          <w:numId w:val="3"/>
        </w:numPr>
        <w:overflowPunct/>
        <w:autoSpaceDE/>
        <w:autoSpaceDN/>
        <w:adjustRightInd/>
        <w:spacing w:after="140" w:line="312" w:lineRule="auto"/>
        <w:ind w:hanging="425"/>
        <w:contextualSpacing/>
        <w:jc w:val="left"/>
        <w:textAlignment w:val="auto"/>
        <w:rPr>
          <w:rFonts w:asciiTheme="minorHAnsi" w:hAnsiTheme="minorHAnsi" w:cstheme="minorHAnsi"/>
          <w:sz w:val="22"/>
          <w:szCs w:val="22"/>
        </w:rPr>
      </w:pPr>
      <w:r w:rsidRPr="00733D57">
        <w:rPr>
          <w:rFonts w:asciiTheme="minorHAnsi" w:hAnsiTheme="minorHAnsi" w:cstheme="minorHAnsi"/>
          <w:sz w:val="22"/>
          <w:szCs w:val="22"/>
        </w:rPr>
        <w:t xml:space="preserve">Erläutern Sie kurz die </w:t>
      </w:r>
      <w:proofErr w:type="spellStart"/>
      <w:r w:rsidRPr="00733D57">
        <w:rPr>
          <w:rFonts w:asciiTheme="minorHAnsi" w:hAnsiTheme="minorHAnsi" w:cstheme="minorHAnsi"/>
          <w:sz w:val="22"/>
          <w:szCs w:val="22"/>
        </w:rPr>
        <w:t>Conversions</w:t>
      </w:r>
      <w:proofErr w:type="spellEnd"/>
      <w:r w:rsidRPr="00733D57">
        <w:rPr>
          <w:rFonts w:asciiTheme="minorHAnsi" w:hAnsiTheme="minorHAnsi" w:cstheme="minorHAnsi"/>
          <w:sz w:val="22"/>
          <w:szCs w:val="22"/>
        </w:rPr>
        <w:t xml:space="preserve"> (Anpassungen) im Rahmen des EVA-Modells!</w:t>
      </w:r>
    </w:p>
    <w:tbl>
      <w:tblPr>
        <w:tblStyle w:val="Tabellenraster"/>
        <w:tblW w:w="0" w:type="auto"/>
        <w:jc w:val="center"/>
        <w:tblLook w:val="04A0" w:firstRow="1" w:lastRow="0" w:firstColumn="1" w:lastColumn="0" w:noHBand="0" w:noVBand="1"/>
      </w:tblPr>
      <w:tblGrid>
        <w:gridCol w:w="2235"/>
        <w:gridCol w:w="5135"/>
      </w:tblGrid>
      <w:tr w:rsidR="00733D57" w:rsidRPr="00733D57" w:rsidTr="00594993">
        <w:trPr>
          <w:jc w:val="center"/>
        </w:trPr>
        <w:tc>
          <w:tcPr>
            <w:tcW w:w="2235" w:type="dxa"/>
            <w:shd w:val="clear" w:color="auto" w:fill="auto"/>
          </w:tcPr>
          <w:p w:rsidR="00594993" w:rsidRPr="00733D57" w:rsidRDefault="00594993" w:rsidP="00EF28F0">
            <w:pPr>
              <w:overflowPunct/>
              <w:autoSpaceDE/>
              <w:autoSpaceDN/>
              <w:adjustRightInd/>
              <w:spacing w:after="60" w:line="259" w:lineRule="auto"/>
              <w:jc w:val="center"/>
              <w:textAlignment w:val="auto"/>
              <w:rPr>
                <w:rFonts w:asciiTheme="minorHAnsi" w:eastAsiaTheme="minorHAnsi" w:hAnsiTheme="minorHAnsi" w:cstheme="minorHAnsi"/>
                <w:b/>
                <w:lang w:eastAsia="en-US"/>
              </w:rPr>
            </w:pPr>
            <w:r w:rsidRPr="00733D57">
              <w:rPr>
                <w:rFonts w:asciiTheme="minorHAnsi" w:eastAsiaTheme="minorHAnsi" w:hAnsiTheme="minorHAnsi" w:cstheme="minorHAnsi"/>
                <w:b/>
                <w:sz w:val="22"/>
                <w:szCs w:val="22"/>
              </w:rPr>
              <w:t>Art der Anpassung</w:t>
            </w:r>
          </w:p>
        </w:tc>
        <w:tc>
          <w:tcPr>
            <w:tcW w:w="5135" w:type="dxa"/>
            <w:shd w:val="clear" w:color="auto" w:fill="auto"/>
          </w:tcPr>
          <w:p w:rsidR="00594993" w:rsidRPr="00733D57" w:rsidRDefault="00594993" w:rsidP="00EF28F0">
            <w:pPr>
              <w:overflowPunct/>
              <w:autoSpaceDE/>
              <w:autoSpaceDN/>
              <w:adjustRightInd/>
              <w:spacing w:after="60" w:line="259" w:lineRule="auto"/>
              <w:jc w:val="center"/>
              <w:textAlignment w:val="auto"/>
              <w:rPr>
                <w:rFonts w:asciiTheme="minorHAnsi" w:eastAsiaTheme="minorHAnsi" w:hAnsiTheme="minorHAnsi" w:cstheme="minorHAnsi"/>
                <w:b/>
                <w:lang w:eastAsia="en-US"/>
              </w:rPr>
            </w:pPr>
            <w:r w:rsidRPr="00733D57">
              <w:rPr>
                <w:rFonts w:asciiTheme="minorHAnsi" w:eastAsiaTheme="minorHAnsi" w:hAnsiTheme="minorHAnsi" w:cstheme="minorHAnsi"/>
                <w:b/>
                <w:sz w:val="22"/>
                <w:szCs w:val="22"/>
              </w:rPr>
              <w:t>Kurzbeschreibung</w:t>
            </w:r>
          </w:p>
        </w:tc>
      </w:tr>
      <w:tr w:rsidR="00733D57" w:rsidRPr="00733D57" w:rsidTr="006E1CDB">
        <w:trPr>
          <w:jc w:val="center"/>
        </w:trPr>
        <w:tc>
          <w:tcPr>
            <w:tcW w:w="2235" w:type="dxa"/>
          </w:tcPr>
          <w:p w:rsidR="00594993" w:rsidRPr="00733D57" w:rsidRDefault="00594993" w:rsidP="00EF28F0">
            <w:pPr>
              <w:overflowPunct/>
              <w:autoSpaceDE/>
              <w:autoSpaceDN/>
              <w:adjustRightInd/>
              <w:spacing w:after="60" w:line="259" w:lineRule="auto"/>
              <w:jc w:val="left"/>
              <w:textAlignment w:val="auto"/>
              <w:rPr>
                <w:rFonts w:asciiTheme="minorHAnsi" w:eastAsiaTheme="minorHAnsi" w:hAnsiTheme="minorHAnsi" w:cstheme="minorHAnsi"/>
                <w:lang w:eastAsia="en-US"/>
              </w:rPr>
            </w:pPr>
            <w:r w:rsidRPr="00733D57">
              <w:rPr>
                <w:rFonts w:asciiTheme="minorHAnsi" w:eastAsiaTheme="minorHAnsi" w:hAnsiTheme="minorHAnsi" w:cstheme="minorHAnsi"/>
                <w:sz w:val="22"/>
                <w:szCs w:val="22"/>
              </w:rPr>
              <w:t xml:space="preserve">Operating </w:t>
            </w:r>
            <w:proofErr w:type="spellStart"/>
            <w:r w:rsidRPr="00733D57">
              <w:rPr>
                <w:rFonts w:asciiTheme="minorHAnsi" w:eastAsiaTheme="minorHAnsi" w:hAnsiTheme="minorHAnsi" w:cstheme="minorHAnsi"/>
                <w:sz w:val="22"/>
                <w:szCs w:val="22"/>
              </w:rPr>
              <w:t>Conversions</w:t>
            </w:r>
            <w:proofErr w:type="spellEnd"/>
          </w:p>
        </w:tc>
        <w:tc>
          <w:tcPr>
            <w:tcW w:w="5135" w:type="dxa"/>
          </w:tcPr>
          <w:p w:rsidR="00594993" w:rsidRPr="00733D57" w:rsidRDefault="00594993" w:rsidP="00EF28F0">
            <w:pPr>
              <w:overflowPunct/>
              <w:autoSpaceDE/>
              <w:autoSpaceDN/>
              <w:adjustRightInd/>
              <w:spacing w:after="60" w:line="259" w:lineRule="auto"/>
              <w:jc w:val="left"/>
              <w:textAlignment w:val="auto"/>
              <w:rPr>
                <w:rFonts w:asciiTheme="minorHAnsi" w:eastAsiaTheme="minorHAnsi" w:hAnsiTheme="minorHAnsi" w:cstheme="minorHAnsi"/>
                <w:lang w:eastAsia="en-US"/>
              </w:rPr>
            </w:pPr>
            <w:r w:rsidRPr="00733D57">
              <w:rPr>
                <w:rFonts w:asciiTheme="minorHAnsi" w:eastAsiaTheme="minorHAnsi" w:hAnsiTheme="minorHAnsi" w:cstheme="minorHAnsi"/>
                <w:sz w:val="22"/>
                <w:szCs w:val="22"/>
              </w:rPr>
              <w:t>Anpassungen auf rein betriebsbedingte Größen</w:t>
            </w:r>
          </w:p>
        </w:tc>
      </w:tr>
      <w:tr w:rsidR="00733D57" w:rsidRPr="00733D57" w:rsidTr="006E1CDB">
        <w:trPr>
          <w:jc w:val="center"/>
        </w:trPr>
        <w:tc>
          <w:tcPr>
            <w:tcW w:w="2235" w:type="dxa"/>
          </w:tcPr>
          <w:p w:rsidR="00594993" w:rsidRPr="00733D57" w:rsidRDefault="00594993" w:rsidP="00EF28F0">
            <w:pPr>
              <w:overflowPunct/>
              <w:autoSpaceDE/>
              <w:autoSpaceDN/>
              <w:adjustRightInd/>
              <w:spacing w:after="60" w:line="259" w:lineRule="auto"/>
              <w:jc w:val="left"/>
              <w:textAlignment w:val="auto"/>
              <w:rPr>
                <w:rFonts w:asciiTheme="minorHAnsi" w:eastAsiaTheme="minorHAnsi" w:hAnsiTheme="minorHAnsi" w:cstheme="minorHAnsi"/>
                <w:lang w:eastAsia="en-US"/>
              </w:rPr>
            </w:pPr>
            <w:r w:rsidRPr="00733D57">
              <w:rPr>
                <w:rFonts w:asciiTheme="minorHAnsi" w:eastAsiaTheme="minorHAnsi" w:hAnsiTheme="minorHAnsi" w:cstheme="minorHAnsi"/>
                <w:sz w:val="22"/>
                <w:szCs w:val="22"/>
              </w:rPr>
              <w:t xml:space="preserve">Funding </w:t>
            </w:r>
            <w:proofErr w:type="spellStart"/>
            <w:r w:rsidRPr="00733D57">
              <w:rPr>
                <w:rFonts w:asciiTheme="minorHAnsi" w:eastAsiaTheme="minorHAnsi" w:hAnsiTheme="minorHAnsi" w:cstheme="minorHAnsi"/>
                <w:sz w:val="22"/>
                <w:szCs w:val="22"/>
              </w:rPr>
              <w:t>Conversions</w:t>
            </w:r>
            <w:proofErr w:type="spellEnd"/>
          </w:p>
        </w:tc>
        <w:tc>
          <w:tcPr>
            <w:tcW w:w="5135" w:type="dxa"/>
          </w:tcPr>
          <w:p w:rsidR="00594993" w:rsidRPr="00733D57" w:rsidRDefault="00594993" w:rsidP="00EF28F0">
            <w:pPr>
              <w:overflowPunct/>
              <w:autoSpaceDE/>
              <w:autoSpaceDN/>
              <w:adjustRightInd/>
              <w:spacing w:after="60" w:line="259" w:lineRule="auto"/>
              <w:jc w:val="left"/>
              <w:textAlignment w:val="auto"/>
              <w:rPr>
                <w:rFonts w:asciiTheme="minorHAnsi" w:eastAsiaTheme="minorHAnsi" w:hAnsiTheme="minorHAnsi" w:cstheme="minorHAnsi"/>
                <w:lang w:eastAsia="en-US"/>
              </w:rPr>
            </w:pPr>
            <w:r w:rsidRPr="00733D57">
              <w:rPr>
                <w:rFonts w:asciiTheme="minorHAnsi" w:eastAsiaTheme="minorHAnsi" w:hAnsiTheme="minorHAnsi" w:cstheme="minorHAnsi"/>
                <w:sz w:val="22"/>
                <w:szCs w:val="22"/>
              </w:rPr>
              <w:t>Eliminierung von bilanz- und erfolgswirksamen Größen, die auf unterschiedlichen Finanzierungsformen beruhen</w:t>
            </w:r>
          </w:p>
        </w:tc>
      </w:tr>
      <w:tr w:rsidR="00733D57" w:rsidRPr="00733D57" w:rsidTr="006E1CDB">
        <w:trPr>
          <w:jc w:val="center"/>
        </w:trPr>
        <w:tc>
          <w:tcPr>
            <w:tcW w:w="2235" w:type="dxa"/>
          </w:tcPr>
          <w:p w:rsidR="00594993" w:rsidRPr="00733D57" w:rsidRDefault="00594993" w:rsidP="00EF28F0">
            <w:pPr>
              <w:overflowPunct/>
              <w:autoSpaceDE/>
              <w:autoSpaceDN/>
              <w:adjustRightInd/>
              <w:spacing w:after="60" w:line="259" w:lineRule="auto"/>
              <w:jc w:val="left"/>
              <w:textAlignment w:val="auto"/>
              <w:rPr>
                <w:rFonts w:asciiTheme="minorHAnsi" w:eastAsiaTheme="minorHAnsi" w:hAnsiTheme="minorHAnsi" w:cstheme="minorHAnsi"/>
                <w:lang w:eastAsia="en-US"/>
              </w:rPr>
            </w:pPr>
            <w:proofErr w:type="spellStart"/>
            <w:r w:rsidRPr="00733D57">
              <w:rPr>
                <w:rFonts w:asciiTheme="minorHAnsi" w:eastAsiaTheme="minorHAnsi" w:hAnsiTheme="minorHAnsi" w:cstheme="minorHAnsi"/>
                <w:sz w:val="22"/>
                <w:szCs w:val="22"/>
              </w:rPr>
              <w:t>Tax</w:t>
            </w:r>
            <w:proofErr w:type="spellEnd"/>
            <w:r w:rsidRPr="00733D57">
              <w:rPr>
                <w:rFonts w:asciiTheme="minorHAnsi" w:eastAsiaTheme="minorHAnsi" w:hAnsiTheme="minorHAnsi" w:cstheme="minorHAnsi"/>
                <w:sz w:val="22"/>
                <w:szCs w:val="22"/>
              </w:rPr>
              <w:t xml:space="preserve"> </w:t>
            </w:r>
            <w:proofErr w:type="spellStart"/>
            <w:r w:rsidRPr="00733D57">
              <w:rPr>
                <w:rFonts w:asciiTheme="minorHAnsi" w:eastAsiaTheme="minorHAnsi" w:hAnsiTheme="minorHAnsi" w:cstheme="minorHAnsi"/>
                <w:sz w:val="22"/>
                <w:szCs w:val="22"/>
              </w:rPr>
              <w:t>Conversions</w:t>
            </w:r>
            <w:proofErr w:type="spellEnd"/>
          </w:p>
        </w:tc>
        <w:tc>
          <w:tcPr>
            <w:tcW w:w="5135" w:type="dxa"/>
          </w:tcPr>
          <w:p w:rsidR="00594993" w:rsidRPr="00733D57" w:rsidRDefault="00594993" w:rsidP="00EF28F0">
            <w:pPr>
              <w:overflowPunct/>
              <w:autoSpaceDE/>
              <w:autoSpaceDN/>
              <w:adjustRightInd/>
              <w:spacing w:after="60" w:line="259" w:lineRule="auto"/>
              <w:jc w:val="left"/>
              <w:textAlignment w:val="auto"/>
              <w:rPr>
                <w:rFonts w:asciiTheme="minorHAnsi" w:eastAsiaTheme="minorHAnsi" w:hAnsiTheme="minorHAnsi" w:cstheme="minorHAnsi"/>
                <w:lang w:eastAsia="en-US"/>
              </w:rPr>
            </w:pPr>
            <w:r w:rsidRPr="00733D57">
              <w:rPr>
                <w:rFonts w:asciiTheme="minorHAnsi" w:eastAsiaTheme="minorHAnsi" w:hAnsiTheme="minorHAnsi" w:cstheme="minorHAnsi"/>
                <w:sz w:val="22"/>
                <w:szCs w:val="22"/>
              </w:rPr>
              <w:t>Eliminierung von Steuern, die auf nicht betriebsbedingte Aufwendungen und Erträge entfallen</w:t>
            </w:r>
          </w:p>
        </w:tc>
      </w:tr>
      <w:tr w:rsidR="00733D57" w:rsidRPr="00733D57" w:rsidTr="006E1CDB">
        <w:trPr>
          <w:jc w:val="center"/>
        </w:trPr>
        <w:tc>
          <w:tcPr>
            <w:tcW w:w="2235" w:type="dxa"/>
          </w:tcPr>
          <w:p w:rsidR="00594993" w:rsidRPr="00733D57" w:rsidRDefault="00594993" w:rsidP="00EF28F0">
            <w:pPr>
              <w:overflowPunct/>
              <w:autoSpaceDE/>
              <w:autoSpaceDN/>
              <w:adjustRightInd/>
              <w:spacing w:after="60" w:line="259" w:lineRule="auto"/>
              <w:jc w:val="left"/>
              <w:textAlignment w:val="auto"/>
              <w:rPr>
                <w:rFonts w:asciiTheme="minorHAnsi" w:eastAsiaTheme="minorHAnsi" w:hAnsiTheme="minorHAnsi" w:cstheme="minorHAnsi"/>
                <w:lang w:eastAsia="en-US"/>
              </w:rPr>
            </w:pPr>
            <w:r w:rsidRPr="00733D57">
              <w:rPr>
                <w:rFonts w:asciiTheme="minorHAnsi" w:eastAsiaTheme="minorHAnsi" w:hAnsiTheme="minorHAnsi" w:cstheme="minorHAnsi"/>
                <w:sz w:val="22"/>
                <w:szCs w:val="22"/>
              </w:rPr>
              <w:t xml:space="preserve">Shareholder </w:t>
            </w:r>
            <w:proofErr w:type="spellStart"/>
            <w:r w:rsidRPr="00733D57">
              <w:rPr>
                <w:rFonts w:asciiTheme="minorHAnsi" w:eastAsiaTheme="minorHAnsi" w:hAnsiTheme="minorHAnsi" w:cstheme="minorHAnsi"/>
                <w:sz w:val="22"/>
                <w:szCs w:val="22"/>
              </w:rPr>
              <w:t>Conversions</w:t>
            </w:r>
            <w:proofErr w:type="spellEnd"/>
          </w:p>
        </w:tc>
        <w:tc>
          <w:tcPr>
            <w:tcW w:w="5135" w:type="dxa"/>
          </w:tcPr>
          <w:p w:rsidR="00594993" w:rsidRPr="00733D57" w:rsidRDefault="00594993" w:rsidP="00EF28F0">
            <w:pPr>
              <w:overflowPunct/>
              <w:autoSpaceDE/>
              <w:autoSpaceDN/>
              <w:adjustRightInd/>
              <w:spacing w:after="60" w:line="259" w:lineRule="auto"/>
              <w:jc w:val="left"/>
              <w:textAlignment w:val="auto"/>
              <w:rPr>
                <w:rFonts w:asciiTheme="minorHAnsi" w:eastAsiaTheme="minorHAnsi" w:hAnsiTheme="minorHAnsi" w:cstheme="minorHAnsi"/>
                <w:lang w:eastAsia="en-US"/>
              </w:rPr>
            </w:pPr>
            <w:r w:rsidRPr="00733D57">
              <w:rPr>
                <w:rFonts w:asciiTheme="minorHAnsi" w:eastAsiaTheme="minorHAnsi" w:hAnsiTheme="minorHAnsi" w:cstheme="minorHAnsi"/>
                <w:sz w:val="22"/>
                <w:szCs w:val="22"/>
              </w:rPr>
              <w:t xml:space="preserve">Anpassungen von Berücksichtigung Eigenkapitalähnlicher Positionen (Equity </w:t>
            </w:r>
            <w:proofErr w:type="spellStart"/>
            <w:r w:rsidRPr="00733D57">
              <w:rPr>
                <w:rFonts w:asciiTheme="minorHAnsi" w:eastAsiaTheme="minorHAnsi" w:hAnsiTheme="minorHAnsi" w:cstheme="minorHAnsi"/>
                <w:sz w:val="22"/>
                <w:szCs w:val="22"/>
              </w:rPr>
              <w:t>Equivalents</w:t>
            </w:r>
            <w:proofErr w:type="spellEnd"/>
            <w:r w:rsidRPr="00733D57">
              <w:rPr>
                <w:rFonts w:asciiTheme="minorHAnsi" w:eastAsiaTheme="minorHAnsi" w:hAnsiTheme="minorHAnsi" w:cstheme="minorHAnsi"/>
                <w:sz w:val="22"/>
                <w:szCs w:val="22"/>
              </w:rPr>
              <w:t>)</w:t>
            </w:r>
          </w:p>
        </w:tc>
      </w:tr>
    </w:tbl>
    <w:p w:rsidR="00152D7E" w:rsidRPr="00733D57" w:rsidRDefault="00152D7E" w:rsidP="00152D7E">
      <w:pPr>
        <w:pStyle w:val="Listenabsatz"/>
        <w:overflowPunct/>
        <w:autoSpaceDE/>
        <w:autoSpaceDN/>
        <w:adjustRightInd/>
        <w:spacing w:after="140" w:line="312" w:lineRule="auto"/>
        <w:ind w:left="428"/>
        <w:contextualSpacing/>
        <w:jc w:val="left"/>
        <w:textAlignment w:val="auto"/>
        <w:rPr>
          <w:rFonts w:asciiTheme="minorHAnsi" w:hAnsiTheme="minorHAnsi" w:cstheme="minorHAnsi"/>
          <w:sz w:val="22"/>
          <w:szCs w:val="22"/>
        </w:rPr>
      </w:pPr>
    </w:p>
    <w:p w:rsidR="001F40F8" w:rsidRPr="00733D57" w:rsidRDefault="007B6192" w:rsidP="00024A6D">
      <w:pPr>
        <w:pStyle w:val="Listenabsatz"/>
        <w:numPr>
          <w:ilvl w:val="0"/>
          <w:numId w:val="3"/>
        </w:numPr>
        <w:overflowPunct/>
        <w:autoSpaceDE/>
        <w:autoSpaceDN/>
        <w:adjustRightInd/>
        <w:spacing w:after="140" w:line="312" w:lineRule="auto"/>
        <w:ind w:hanging="425"/>
        <w:contextualSpacing/>
        <w:jc w:val="left"/>
        <w:textAlignment w:val="auto"/>
        <w:rPr>
          <w:rFonts w:asciiTheme="minorHAnsi" w:hAnsiTheme="minorHAnsi" w:cstheme="minorHAnsi"/>
          <w:sz w:val="22"/>
          <w:szCs w:val="22"/>
        </w:rPr>
      </w:pPr>
      <w:r w:rsidRPr="00733D57">
        <w:rPr>
          <w:rFonts w:asciiTheme="minorHAnsi" w:hAnsiTheme="minorHAnsi" w:cstheme="minorHAnsi"/>
          <w:sz w:val="22"/>
          <w:szCs w:val="22"/>
        </w:rPr>
        <w:t>Worin sehen Sie die wesentlichen Probleme bei der Umsetzung wertorientierter Konzepte in der Praxis?</w:t>
      </w:r>
    </w:p>
    <w:p w:rsidR="00594993" w:rsidRPr="00733D57" w:rsidRDefault="00594993" w:rsidP="00EF28F0">
      <w:pPr>
        <w:pStyle w:val="Listenabsatz"/>
        <w:numPr>
          <w:ilvl w:val="0"/>
          <w:numId w:val="15"/>
        </w:numPr>
        <w:rPr>
          <w:rFonts w:asciiTheme="minorHAnsi" w:hAnsiTheme="minorHAnsi" w:cstheme="minorHAnsi"/>
          <w:sz w:val="22"/>
          <w:szCs w:val="22"/>
        </w:rPr>
      </w:pPr>
      <w:r w:rsidRPr="00733D57">
        <w:rPr>
          <w:rFonts w:asciiTheme="minorHAnsi" w:hAnsiTheme="minorHAnsi" w:cstheme="minorHAnsi"/>
          <w:sz w:val="22"/>
          <w:szCs w:val="22"/>
        </w:rPr>
        <w:t>Zu hohe Anforderungen an die operative Umsetzung im Unternehmensalltag</w:t>
      </w:r>
    </w:p>
    <w:p w:rsidR="00594993" w:rsidRPr="00733D57" w:rsidRDefault="00594993" w:rsidP="00EF28F0">
      <w:pPr>
        <w:pStyle w:val="Listenabsatz"/>
        <w:numPr>
          <w:ilvl w:val="0"/>
          <w:numId w:val="15"/>
        </w:numPr>
        <w:overflowPunct/>
        <w:autoSpaceDE/>
        <w:autoSpaceDN/>
        <w:adjustRightInd/>
        <w:spacing w:after="140" w:line="312" w:lineRule="auto"/>
        <w:contextualSpacing/>
        <w:jc w:val="left"/>
        <w:textAlignment w:val="auto"/>
        <w:rPr>
          <w:rFonts w:asciiTheme="minorHAnsi" w:hAnsiTheme="minorHAnsi" w:cstheme="minorHAnsi"/>
          <w:sz w:val="22"/>
          <w:szCs w:val="22"/>
        </w:rPr>
      </w:pPr>
      <w:r w:rsidRPr="00733D57">
        <w:rPr>
          <w:rFonts w:asciiTheme="minorHAnsi" w:hAnsiTheme="minorHAnsi" w:cstheme="minorHAnsi"/>
          <w:sz w:val="22"/>
          <w:szCs w:val="22"/>
        </w:rPr>
        <w:t>Mangelnde Zielkongruenz wertorientierter Kennzahlen</w:t>
      </w:r>
    </w:p>
    <w:p w:rsidR="00594993" w:rsidRPr="00733D57" w:rsidRDefault="00594993" w:rsidP="00EF28F0">
      <w:pPr>
        <w:pStyle w:val="Listenabsatz"/>
        <w:numPr>
          <w:ilvl w:val="0"/>
          <w:numId w:val="15"/>
        </w:numPr>
        <w:overflowPunct/>
        <w:autoSpaceDE/>
        <w:autoSpaceDN/>
        <w:adjustRightInd/>
        <w:spacing w:after="140" w:line="312" w:lineRule="auto"/>
        <w:contextualSpacing/>
        <w:jc w:val="left"/>
        <w:textAlignment w:val="auto"/>
        <w:rPr>
          <w:rFonts w:asciiTheme="minorHAnsi" w:hAnsiTheme="minorHAnsi" w:cstheme="minorHAnsi"/>
          <w:sz w:val="22"/>
          <w:szCs w:val="22"/>
        </w:rPr>
      </w:pPr>
      <w:r w:rsidRPr="00733D57">
        <w:rPr>
          <w:rFonts w:asciiTheme="minorHAnsi" w:hAnsiTheme="minorHAnsi" w:cstheme="minorHAnsi"/>
          <w:sz w:val="22"/>
          <w:szCs w:val="22"/>
        </w:rPr>
        <w:t>Mangelnde Verständlichkeit wertorientierter Kennzahlen und daraus resultierende Akzeptanzprobleme bei den Mitarbeitern</w:t>
      </w:r>
    </w:p>
    <w:p w:rsidR="00152D7E" w:rsidRPr="00733D57" w:rsidRDefault="00594993" w:rsidP="00EF28F0">
      <w:pPr>
        <w:pStyle w:val="Listenabsatz"/>
        <w:numPr>
          <w:ilvl w:val="0"/>
          <w:numId w:val="15"/>
        </w:numPr>
        <w:overflowPunct/>
        <w:autoSpaceDE/>
        <w:autoSpaceDN/>
        <w:adjustRightInd/>
        <w:spacing w:after="140" w:line="312" w:lineRule="auto"/>
        <w:contextualSpacing/>
        <w:jc w:val="left"/>
        <w:textAlignment w:val="auto"/>
        <w:rPr>
          <w:rFonts w:asciiTheme="minorHAnsi" w:hAnsiTheme="minorHAnsi" w:cstheme="minorHAnsi"/>
          <w:sz w:val="22"/>
          <w:szCs w:val="22"/>
        </w:rPr>
      </w:pPr>
      <w:bookmarkStart w:id="1" w:name="_GoBack"/>
      <w:r w:rsidRPr="00793C95">
        <w:rPr>
          <w:rFonts w:asciiTheme="minorHAnsi" w:hAnsiTheme="minorHAnsi" w:cstheme="minorHAnsi"/>
          <w:sz w:val="22"/>
          <w:szCs w:val="22"/>
        </w:rPr>
        <w:t>Mangelnde Vergleichbarkeit wertorientierter Kennzahlen</w:t>
      </w:r>
      <w:bookmarkEnd w:id="1"/>
    </w:p>
    <w:sectPr w:rsidR="00152D7E" w:rsidRPr="00733D5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Medium">
    <w:panose1 w:val="020B06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B22B0"/>
    <w:multiLevelType w:val="hybridMultilevel"/>
    <w:tmpl w:val="D3F64576"/>
    <w:lvl w:ilvl="0" w:tplc="60A62830">
      <w:start w:val="1"/>
      <w:numFmt w:val="bullet"/>
      <w:lvlText w:val="-"/>
      <w:lvlJc w:val="left"/>
      <w:pPr>
        <w:ind w:left="428" w:hanging="428"/>
      </w:pPr>
      <w:rPr>
        <w:rFonts w:ascii="Calibri" w:eastAsiaTheme="minorHAnsi" w:hAnsi="Calibri" w:cs="Calibri"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3CD0E99"/>
    <w:multiLevelType w:val="hybridMultilevel"/>
    <w:tmpl w:val="49E42064"/>
    <w:lvl w:ilvl="0" w:tplc="60A62830">
      <w:start w:val="1"/>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0651CA0"/>
    <w:multiLevelType w:val="hybridMultilevel"/>
    <w:tmpl w:val="A5C4D4D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119D59F7"/>
    <w:multiLevelType w:val="hybridMultilevel"/>
    <w:tmpl w:val="328EF07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13B95563"/>
    <w:multiLevelType w:val="hybridMultilevel"/>
    <w:tmpl w:val="12ACA86E"/>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8DD15CC"/>
    <w:multiLevelType w:val="hybridMultilevel"/>
    <w:tmpl w:val="F320D63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1DEE7C1E"/>
    <w:multiLevelType w:val="hybridMultilevel"/>
    <w:tmpl w:val="BEF40886"/>
    <w:lvl w:ilvl="0" w:tplc="97E236A8">
      <w:start w:val="1"/>
      <w:numFmt w:val="bullet"/>
      <w:lvlText w:val="n"/>
      <w:lvlJc w:val="left"/>
      <w:pPr>
        <w:ind w:left="947" w:hanging="360"/>
      </w:pPr>
      <w:rPr>
        <w:rFonts w:ascii="Wingdings" w:hAnsi="Wingdings" w:hint="default"/>
        <w:color w:val="BFBFBF" w:themeColor="background1" w:themeShade="BF"/>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7" w15:restartNumberingAfterBreak="0">
    <w:nsid w:val="33B2021D"/>
    <w:multiLevelType w:val="hybridMultilevel"/>
    <w:tmpl w:val="A558BAA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35D56FAA"/>
    <w:multiLevelType w:val="hybridMultilevel"/>
    <w:tmpl w:val="12E061CC"/>
    <w:lvl w:ilvl="0" w:tplc="BBB0EB50">
      <w:start w:val="1"/>
      <w:numFmt w:val="decimal"/>
      <w:lvlText w:val="%1."/>
      <w:lvlJc w:val="left"/>
      <w:pPr>
        <w:ind w:left="428" w:hanging="428"/>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3B1D16C7"/>
    <w:multiLevelType w:val="hybridMultilevel"/>
    <w:tmpl w:val="26142D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7D45BDA"/>
    <w:multiLevelType w:val="hybridMultilevel"/>
    <w:tmpl w:val="0B9CE06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4E734DDE"/>
    <w:multiLevelType w:val="hybridMultilevel"/>
    <w:tmpl w:val="E732F08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55C22F11"/>
    <w:multiLevelType w:val="hybridMultilevel"/>
    <w:tmpl w:val="D0F0261C"/>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58D07A29"/>
    <w:multiLevelType w:val="hybridMultilevel"/>
    <w:tmpl w:val="18084072"/>
    <w:lvl w:ilvl="0" w:tplc="60A62830">
      <w:start w:val="1"/>
      <w:numFmt w:val="bullet"/>
      <w:lvlText w:val="-"/>
      <w:lvlJc w:val="left"/>
      <w:pPr>
        <w:ind w:left="644" w:hanging="360"/>
      </w:pPr>
      <w:rPr>
        <w:rFonts w:ascii="Calibri" w:eastAsiaTheme="minorHAnsi" w:hAnsi="Calibri" w:cs="Calibri" w:hint="default"/>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14" w15:restartNumberingAfterBreak="0">
    <w:nsid w:val="6CF41EA8"/>
    <w:multiLevelType w:val="multilevel"/>
    <w:tmpl w:val="B40249F6"/>
    <w:lvl w:ilvl="0">
      <w:start w:val="1"/>
      <w:numFmt w:val="decimal"/>
      <w:pStyle w:val="berschrift1"/>
      <w:lvlText w:val="%1"/>
      <w:lvlJc w:val="left"/>
      <w:pPr>
        <w:tabs>
          <w:tab w:val="num" w:pos="1000"/>
        </w:tabs>
        <w:ind w:left="1000" w:hanging="432"/>
      </w:pPr>
    </w:lvl>
    <w:lvl w:ilvl="1">
      <w:start w:val="1"/>
      <w:numFmt w:val="decimal"/>
      <w:pStyle w:val="berschrift2"/>
      <w:lvlText w:val="%1.%2"/>
      <w:lvlJc w:val="left"/>
      <w:pPr>
        <w:tabs>
          <w:tab w:val="num" w:pos="1286"/>
        </w:tabs>
        <w:ind w:left="1286" w:hanging="576"/>
      </w:pPr>
      <w:rPr>
        <w:i w:val="0"/>
      </w:rPr>
    </w:lvl>
    <w:lvl w:ilvl="2">
      <w:start w:val="1"/>
      <w:numFmt w:val="decimal"/>
      <w:pStyle w:val="berschrift3"/>
      <w:lvlText w:val="%1.%2.%3"/>
      <w:lvlJc w:val="left"/>
      <w:pPr>
        <w:tabs>
          <w:tab w:val="num" w:pos="2138"/>
        </w:tabs>
        <w:ind w:left="2138" w:hanging="720"/>
      </w:pPr>
    </w:lvl>
    <w:lvl w:ilvl="3">
      <w:start w:val="1"/>
      <w:numFmt w:val="decimal"/>
      <w:pStyle w:val="berschrift4"/>
      <w:lvlText w:val="%1.%2.%3.%4"/>
      <w:lvlJc w:val="left"/>
      <w:pPr>
        <w:tabs>
          <w:tab w:val="num" w:pos="1290"/>
        </w:tabs>
        <w:ind w:left="1290" w:hanging="864"/>
      </w:pPr>
      <w:rPr>
        <w:b/>
        <w:i w:val="0"/>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pStyle w:val="berschrift7"/>
      <w:lvlText w:val="%1.%2.%3.%4.%5.%6.%7"/>
      <w:lvlJc w:val="left"/>
      <w:pPr>
        <w:tabs>
          <w:tab w:val="num" w:pos="1296"/>
        </w:tabs>
        <w:ind w:left="1296" w:hanging="1296"/>
      </w:pPr>
    </w:lvl>
    <w:lvl w:ilvl="7">
      <w:start w:val="1"/>
      <w:numFmt w:val="decimal"/>
      <w:pStyle w:val="berschrift8"/>
      <w:lvlText w:val="%1.%2.%3.%4.%5.%6.%7.%8"/>
      <w:lvlJc w:val="left"/>
      <w:pPr>
        <w:tabs>
          <w:tab w:val="num" w:pos="1440"/>
        </w:tabs>
        <w:ind w:left="1440" w:hanging="1440"/>
      </w:pPr>
    </w:lvl>
    <w:lvl w:ilvl="8">
      <w:start w:val="1"/>
      <w:numFmt w:val="decimal"/>
      <w:pStyle w:val="berschrift9"/>
      <w:lvlText w:val="%1.%2.%3.%4.%5.%6.%7.%8.%9"/>
      <w:lvlJc w:val="left"/>
      <w:pPr>
        <w:tabs>
          <w:tab w:val="num" w:pos="1584"/>
        </w:tabs>
        <w:ind w:left="1584" w:hanging="1584"/>
      </w:pPr>
    </w:lvl>
  </w:abstractNum>
  <w:abstractNum w:abstractNumId="15" w15:restartNumberingAfterBreak="0">
    <w:nsid w:val="77D918F0"/>
    <w:multiLevelType w:val="hybridMultilevel"/>
    <w:tmpl w:val="A392AD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2"/>
  </w:num>
  <w:num w:numId="2">
    <w:abstractNumId w:val="4"/>
  </w:num>
  <w:num w:numId="3">
    <w:abstractNumId w:val="8"/>
  </w:num>
  <w:num w:numId="4">
    <w:abstractNumId w:val="14"/>
  </w:num>
  <w:num w:numId="5">
    <w:abstractNumId w:val="6"/>
  </w:num>
  <w:num w:numId="6">
    <w:abstractNumId w:val="9"/>
  </w:num>
  <w:num w:numId="7">
    <w:abstractNumId w:val="15"/>
  </w:num>
  <w:num w:numId="8">
    <w:abstractNumId w:val="11"/>
  </w:num>
  <w:num w:numId="9">
    <w:abstractNumId w:val="10"/>
  </w:num>
  <w:num w:numId="10">
    <w:abstractNumId w:val="5"/>
  </w:num>
  <w:num w:numId="11">
    <w:abstractNumId w:val="7"/>
  </w:num>
  <w:num w:numId="12">
    <w:abstractNumId w:val="2"/>
  </w:num>
  <w:num w:numId="13">
    <w:abstractNumId w:val="3"/>
  </w:num>
  <w:num w:numId="14">
    <w:abstractNumId w:val="13"/>
  </w:num>
  <w:num w:numId="15">
    <w:abstractNumId w:val="0"/>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28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40F8"/>
    <w:rsid w:val="00024A6D"/>
    <w:rsid w:val="000F1D25"/>
    <w:rsid w:val="00143176"/>
    <w:rsid w:val="00152D7E"/>
    <w:rsid w:val="001944D3"/>
    <w:rsid w:val="001F40F8"/>
    <w:rsid w:val="00222389"/>
    <w:rsid w:val="002251B2"/>
    <w:rsid w:val="0031539D"/>
    <w:rsid w:val="00594993"/>
    <w:rsid w:val="006E1CDB"/>
    <w:rsid w:val="00733D57"/>
    <w:rsid w:val="00793C95"/>
    <w:rsid w:val="007B6192"/>
    <w:rsid w:val="007D5D47"/>
    <w:rsid w:val="00840196"/>
    <w:rsid w:val="00870B0F"/>
    <w:rsid w:val="00930A98"/>
    <w:rsid w:val="00946FF7"/>
    <w:rsid w:val="009C3E6E"/>
    <w:rsid w:val="00A729D3"/>
    <w:rsid w:val="00AB662E"/>
    <w:rsid w:val="00C14BA9"/>
    <w:rsid w:val="00C443DF"/>
    <w:rsid w:val="00CC330E"/>
    <w:rsid w:val="00E244E6"/>
    <w:rsid w:val="00E30EBD"/>
    <w:rsid w:val="00ED07BE"/>
    <w:rsid w:val="00EF28F0"/>
    <w:rsid w:val="00F7525D"/>
    <w:rsid w:val="00FB2D3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F0FA86"/>
  <w15:chartTrackingRefBased/>
  <w15:docId w15:val="{F2D6E7C7-A383-4AC4-9ED7-E6ABF5EC79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qFormat/>
    <w:rsid w:val="00152D7E"/>
    <w:pPr>
      <w:keepNext/>
      <w:numPr>
        <w:numId w:val="4"/>
      </w:numPr>
      <w:tabs>
        <w:tab w:val="clear" w:pos="1000"/>
        <w:tab w:val="num" w:pos="432"/>
      </w:tabs>
      <w:overflowPunct w:val="0"/>
      <w:autoSpaceDE w:val="0"/>
      <w:autoSpaceDN w:val="0"/>
      <w:adjustRightInd w:val="0"/>
      <w:spacing w:before="480" w:after="360" w:line="240" w:lineRule="auto"/>
      <w:ind w:left="432"/>
      <w:textAlignment w:val="baseline"/>
      <w:outlineLvl w:val="0"/>
    </w:pPr>
    <w:rPr>
      <w:rFonts w:ascii="Franklin Gothic Medium" w:eastAsia="Times New Roman" w:hAnsi="Franklin Gothic Medium" w:cs="Times New Roman"/>
      <w:b/>
      <w:color w:val="000000"/>
      <w:kern w:val="28"/>
      <w:sz w:val="26"/>
      <w:szCs w:val="20"/>
      <w:lang w:eastAsia="de-DE"/>
    </w:rPr>
  </w:style>
  <w:style w:type="paragraph" w:styleId="berschrift2">
    <w:name w:val="heading 2"/>
    <w:basedOn w:val="Standard"/>
    <w:next w:val="Standard"/>
    <w:link w:val="berschrift2Zchn"/>
    <w:qFormat/>
    <w:rsid w:val="00152D7E"/>
    <w:pPr>
      <w:keepNext/>
      <w:numPr>
        <w:ilvl w:val="1"/>
        <w:numId w:val="4"/>
      </w:numPr>
      <w:overflowPunct w:val="0"/>
      <w:autoSpaceDE w:val="0"/>
      <w:autoSpaceDN w:val="0"/>
      <w:adjustRightInd w:val="0"/>
      <w:spacing w:before="420" w:after="240" w:line="240" w:lineRule="auto"/>
      <w:ind w:left="578" w:hanging="578"/>
      <w:textAlignment w:val="baseline"/>
      <w:outlineLvl w:val="1"/>
    </w:pPr>
    <w:rPr>
      <w:rFonts w:ascii="Franklin Gothic Medium" w:eastAsia="Times New Roman" w:hAnsi="Franklin Gothic Medium" w:cs="Times New Roman"/>
      <w:b/>
      <w:color w:val="000000"/>
      <w:sz w:val="24"/>
      <w:szCs w:val="20"/>
      <w:lang w:eastAsia="de-DE"/>
    </w:rPr>
  </w:style>
  <w:style w:type="paragraph" w:styleId="berschrift3">
    <w:name w:val="heading 3"/>
    <w:basedOn w:val="Standard"/>
    <w:next w:val="Standard"/>
    <w:link w:val="berschrift3Zchn"/>
    <w:qFormat/>
    <w:rsid w:val="00152D7E"/>
    <w:pPr>
      <w:keepNext/>
      <w:numPr>
        <w:ilvl w:val="2"/>
        <w:numId w:val="4"/>
      </w:numPr>
      <w:overflowPunct w:val="0"/>
      <w:autoSpaceDE w:val="0"/>
      <w:autoSpaceDN w:val="0"/>
      <w:adjustRightInd w:val="0"/>
      <w:spacing w:before="240" w:after="120" w:line="240" w:lineRule="auto"/>
      <w:ind w:left="720"/>
      <w:textAlignment w:val="baseline"/>
      <w:outlineLvl w:val="2"/>
    </w:pPr>
    <w:rPr>
      <w:rFonts w:ascii="Franklin Gothic Medium" w:eastAsia="Times New Roman" w:hAnsi="Franklin Gothic Medium" w:cs="Times New Roman"/>
      <w:b/>
      <w:color w:val="000000"/>
      <w:lang w:eastAsia="de-DE"/>
    </w:rPr>
  </w:style>
  <w:style w:type="paragraph" w:styleId="berschrift4">
    <w:name w:val="heading 4"/>
    <w:basedOn w:val="Standard"/>
    <w:next w:val="Standard"/>
    <w:link w:val="berschrift4Zchn"/>
    <w:qFormat/>
    <w:rsid w:val="00152D7E"/>
    <w:pPr>
      <w:keepNext/>
      <w:numPr>
        <w:ilvl w:val="3"/>
        <w:numId w:val="4"/>
      </w:numPr>
      <w:overflowPunct w:val="0"/>
      <w:autoSpaceDE w:val="0"/>
      <w:autoSpaceDN w:val="0"/>
      <w:adjustRightInd w:val="0"/>
      <w:spacing w:before="360" w:after="120" w:line="240" w:lineRule="auto"/>
      <w:ind w:left="862" w:hanging="862"/>
      <w:jc w:val="both"/>
      <w:textAlignment w:val="baseline"/>
      <w:outlineLvl w:val="3"/>
    </w:pPr>
    <w:rPr>
      <w:rFonts w:ascii="Franklin Gothic Medium" w:eastAsia="Times New Roman" w:hAnsi="Franklin Gothic Medium" w:cs="Times New Roman"/>
      <w:b/>
      <w:bCs/>
      <w:color w:val="000000"/>
      <w:sz w:val="21"/>
      <w:szCs w:val="28"/>
      <w:lang w:eastAsia="de-DE"/>
    </w:rPr>
  </w:style>
  <w:style w:type="paragraph" w:styleId="berschrift7">
    <w:name w:val="heading 7"/>
    <w:basedOn w:val="Standard"/>
    <w:next w:val="Standard"/>
    <w:link w:val="berschrift7Zchn"/>
    <w:uiPriority w:val="99"/>
    <w:qFormat/>
    <w:rsid w:val="00152D7E"/>
    <w:pPr>
      <w:numPr>
        <w:ilvl w:val="6"/>
        <w:numId w:val="4"/>
      </w:numPr>
      <w:overflowPunct w:val="0"/>
      <w:autoSpaceDE w:val="0"/>
      <w:autoSpaceDN w:val="0"/>
      <w:adjustRightInd w:val="0"/>
      <w:spacing w:before="240" w:after="60" w:line="240" w:lineRule="auto"/>
      <w:jc w:val="both"/>
      <w:textAlignment w:val="baseline"/>
      <w:outlineLvl w:val="6"/>
    </w:pPr>
    <w:rPr>
      <w:rFonts w:ascii="Times New Roman" w:eastAsia="Times New Roman" w:hAnsi="Times New Roman" w:cs="Times New Roman"/>
      <w:color w:val="000000"/>
      <w:sz w:val="24"/>
      <w:szCs w:val="24"/>
      <w:lang w:eastAsia="de-DE"/>
    </w:rPr>
  </w:style>
  <w:style w:type="paragraph" w:styleId="berschrift8">
    <w:name w:val="heading 8"/>
    <w:basedOn w:val="Standard"/>
    <w:next w:val="Standard"/>
    <w:link w:val="berschrift8Zchn"/>
    <w:uiPriority w:val="99"/>
    <w:qFormat/>
    <w:rsid w:val="00152D7E"/>
    <w:pPr>
      <w:numPr>
        <w:ilvl w:val="7"/>
        <w:numId w:val="4"/>
      </w:numPr>
      <w:overflowPunct w:val="0"/>
      <w:autoSpaceDE w:val="0"/>
      <w:autoSpaceDN w:val="0"/>
      <w:adjustRightInd w:val="0"/>
      <w:spacing w:before="240" w:after="60" w:line="240" w:lineRule="auto"/>
      <w:jc w:val="both"/>
      <w:textAlignment w:val="baseline"/>
      <w:outlineLvl w:val="7"/>
    </w:pPr>
    <w:rPr>
      <w:rFonts w:ascii="Times New Roman" w:eastAsia="Times New Roman" w:hAnsi="Times New Roman" w:cs="Times New Roman"/>
      <w:i/>
      <w:iCs/>
      <w:color w:val="000000"/>
      <w:sz w:val="24"/>
      <w:szCs w:val="24"/>
      <w:lang w:eastAsia="de-DE"/>
    </w:rPr>
  </w:style>
  <w:style w:type="paragraph" w:styleId="berschrift9">
    <w:name w:val="heading 9"/>
    <w:basedOn w:val="Standard"/>
    <w:next w:val="Standard"/>
    <w:link w:val="berschrift9Zchn"/>
    <w:qFormat/>
    <w:rsid w:val="00152D7E"/>
    <w:pPr>
      <w:numPr>
        <w:ilvl w:val="8"/>
        <w:numId w:val="4"/>
      </w:numPr>
      <w:overflowPunct w:val="0"/>
      <w:autoSpaceDE w:val="0"/>
      <w:autoSpaceDN w:val="0"/>
      <w:adjustRightInd w:val="0"/>
      <w:spacing w:before="240" w:after="60" w:line="240" w:lineRule="auto"/>
      <w:jc w:val="both"/>
      <w:textAlignment w:val="baseline"/>
      <w:outlineLvl w:val="8"/>
    </w:pPr>
    <w:rPr>
      <w:rFonts w:ascii="Arial" w:eastAsia="Times New Roman" w:hAnsi="Arial" w:cs="Arial"/>
      <w:color w:val="00000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qFormat/>
    <w:rsid w:val="001F40F8"/>
    <w:pPr>
      <w:overflowPunct w:val="0"/>
      <w:autoSpaceDE w:val="0"/>
      <w:autoSpaceDN w:val="0"/>
      <w:adjustRightInd w:val="0"/>
      <w:spacing w:after="120" w:line="240" w:lineRule="auto"/>
      <w:ind w:left="708"/>
      <w:jc w:val="both"/>
      <w:textAlignment w:val="baseline"/>
    </w:pPr>
    <w:rPr>
      <w:rFonts w:ascii="Garamond" w:eastAsia="Times New Roman" w:hAnsi="Garamond" w:cs="Times New Roman"/>
      <w:sz w:val="21"/>
      <w:szCs w:val="20"/>
      <w:lang w:eastAsia="de-DE"/>
    </w:rPr>
  </w:style>
  <w:style w:type="paragraph" w:styleId="Verzeichnis1">
    <w:name w:val="toc 1"/>
    <w:basedOn w:val="Standard"/>
    <w:next w:val="Standard"/>
    <w:autoRedefine/>
    <w:uiPriority w:val="39"/>
    <w:semiHidden/>
    <w:unhideWhenUsed/>
    <w:rsid w:val="00C14BA9"/>
    <w:pPr>
      <w:spacing w:after="100"/>
    </w:pPr>
  </w:style>
  <w:style w:type="character" w:customStyle="1" w:styleId="berschrift1Zchn">
    <w:name w:val="Überschrift 1 Zchn"/>
    <w:basedOn w:val="Absatz-Standardschriftart"/>
    <w:link w:val="berschrift1"/>
    <w:rsid w:val="00152D7E"/>
    <w:rPr>
      <w:rFonts w:ascii="Franklin Gothic Medium" w:eastAsia="Times New Roman" w:hAnsi="Franklin Gothic Medium" w:cs="Times New Roman"/>
      <w:b/>
      <w:color w:val="000000"/>
      <w:kern w:val="28"/>
      <w:sz w:val="26"/>
      <w:szCs w:val="20"/>
      <w:lang w:eastAsia="de-DE"/>
    </w:rPr>
  </w:style>
  <w:style w:type="character" w:customStyle="1" w:styleId="berschrift2Zchn">
    <w:name w:val="Überschrift 2 Zchn"/>
    <w:basedOn w:val="Absatz-Standardschriftart"/>
    <w:link w:val="berschrift2"/>
    <w:rsid w:val="00152D7E"/>
    <w:rPr>
      <w:rFonts w:ascii="Franklin Gothic Medium" w:eastAsia="Times New Roman" w:hAnsi="Franklin Gothic Medium" w:cs="Times New Roman"/>
      <w:b/>
      <w:color w:val="000000"/>
      <w:sz w:val="24"/>
      <w:szCs w:val="20"/>
      <w:lang w:eastAsia="de-DE"/>
    </w:rPr>
  </w:style>
  <w:style w:type="character" w:customStyle="1" w:styleId="berschrift3Zchn">
    <w:name w:val="Überschrift 3 Zchn"/>
    <w:basedOn w:val="Absatz-Standardschriftart"/>
    <w:link w:val="berschrift3"/>
    <w:rsid w:val="00152D7E"/>
    <w:rPr>
      <w:rFonts w:ascii="Franklin Gothic Medium" w:eastAsia="Times New Roman" w:hAnsi="Franklin Gothic Medium" w:cs="Times New Roman"/>
      <w:b/>
      <w:color w:val="000000"/>
      <w:lang w:eastAsia="de-DE"/>
    </w:rPr>
  </w:style>
  <w:style w:type="character" w:customStyle="1" w:styleId="berschrift4Zchn">
    <w:name w:val="Überschrift 4 Zchn"/>
    <w:basedOn w:val="Absatz-Standardschriftart"/>
    <w:link w:val="berschrift4"/>
    <w:rsid w:val="00152D7E"/>
    <w:rPr>
      <w:rFonts w:ascii="Franklin Gothic Medium" w:eastAsia="Times New Roman" w:hAnsi="Franklin Gothic Medium" w:cs="Times New Roman"/>
      <w:b/>
      <w:bCs/>
      <w:color w:val="000000"/>
      <w:sz w:val="21"/>
      <w:szCs w:val="28"/>
      <w:lang w:eastAsia="de-DE"/>
    </w:rPr>
  </w:style>
  <w:style w:type="character" w:customStyle="1" w:styleId="berschrift7Zchn">
    <w:name w:val="Überschrift 7 Zchn"/>
    <w:basedOn w:val="Absatz-Standardschriftart"/>
    <w:link w:val="berschrift7"/>
    <w:uiPriority w:val="99"/>
    <w:rsid w:val="00152D7E"/>
    <w:rPr>
      <w:rFonts w:ascii="Times New Roman" w:eastAsia="Times New Roman" w:hAnsi="Times New Roman" w:cs="Times New Roman"/>
      <w:color w:val="000000"/>
      <w:sz w:val="24"/>
      <w:szCs w:val="24"/>
      <w:lang w:eastAsia="de-DE"/>
    </w:rPr>
  </w:style>
  <w:style w:type="character" w:customStyle="1" w:styleId="berschrift8Zchn">
    <w:name w:val="Überschrift 8 Zchn"/>
    <w:basedOn w:val="Absatz-Standardschriftart"/>
    <w:link w:val="berschrift8"/>
    <w:uiPriority w:val="99"/>
    <w:rsid w:val="00152D7E"/>
    <w:rPr>
      <w:rFonts w:ascii="Times New Roman" w:eastAsia="Times New Roman" w:hAnsi="Times New Roman" w:cs="Times New Roman"/>
      <w:i/>
      <w:iCs/>
      <w:color w:val="000000"/>
      <w:sz w:val="24"/>
      <w:szCs w:val="24"/>
      <w:lang w:eastAsia="de-DE"/>
    </w:rPr>
  </w:style>
  <w:style w:type="character" w:customStyle="1" w:styleId="berschrift9Zchn">
    <w:name w:val="Überschrift 9 Zchn"/>
    <w:basedOn w:val="Absatz-Standardschriftart"/>
    <w:link w:val="berschrift9"/>
    <w:rsid w:val="00152D7E"/>
    <w:rPr>
      <w:rFonts w:ascii="Arial" w:eastAsia="Times New Roman" w:hAnsi="Arial" w:cs="Arial"/>
      <w:color w:val="000000"/>
      <w:lang w:eastAsia="de-DE"/>
    </w:rPr>
  </w:style>
  <w:style w:type="paragraph" w:styleId="Fuzeile">
    <w:name w:val="footer"/>
    <w:basedOn w:val="Standard"/>
    <w:link w:val="FuzeileZchn"/>
    <w:rsid w:val="00152D7E"/>
    <w:pPr>
      <w:tabs>
        <w:tab w:val="right" w:pos="7088"/>
      </w:tabs>
      <w:overflowPunct w:val="0"/>
      <w:autoSpaceDE w:val="0"/>
      <w:autoSpaceDN w:val="0"/>
      <w:adjustRightInd w:val="0"/>
      <w:spacing w:after="120" w:line="240" w:lineRule="auto"/>
      <w:jc w:val="both"/>
      <w:textAlignment w:val="baseline"/>
    </w:pPr>
    <w:rPr>
      <w:rFonts w:ascii="Franklin Gothic Medium" w:eastAsia="Times New Roman" w:hAnsi="Franklin Gothic Medium" w:cs="Times New Roman"/>
      <w:color w:val="999999"/>
      <w:sz w:val="18"/>
      <w:szCs w:val="21"/>
      <w:lang w:eastAsia="de-DE"/>
    </w:rPr>
  </w:style>
  <w:style w:type="character" w:customStyle="1" w:styleId="FuzeileZchn">
    <w:name w:val="Fußzeile Zchn"/>
    <w:basedOn w:val="Absatz-Standardschriftart"/>
    <w:link w:val="Fuzeile"/>
    <w:rsid w:val="00152D7E"/>
    <w:rPr>
      <w:rFonts w:ascii="Franklin Gothic Medium" w:eastAsia="Times New Roman" w:hAnsi="Franklin Gothic Medium" w:cs="Times New Roman"/>
      <w:color w:val="999999"/>
      <w:sz w:val="18"/>
      <w:szCs w:val="21"/>
      <w:lang w:eastAsia="de-DE"/>
    </w:rPr>
  </w:style>
  <w:style w:type="paragraph" w:customStyle="1" w:styleId="Kasten">
    <w:name w:val="Kasten"/>
    <w:basedOn w:val="Standard"/>
    <w:next w:val="Standard"/>
    <w:rsid w:val="00152D7E"/>
    <w:pPr>
      <w:pBdr>
        <w:top w:val="single" w:sz="48" w:space="6" w:color="C0C0C0"/>
        <w:left w:val="single" w:sz="48" w:space="6" w:color="C0C0C0"/>
        <w:bottom w:val="single" w:sz="48" w:space="8" w:color="C0C0C0"/>
        <w:right w:val="single" w:sz="48" w:space="6" w:color="C0C0C0"/>
      </w:pBdr>
      <w:overflowPunct w:val="0"/>
      <w:autoSpaceDE w:val="0"/>
      <w:autoSpaceDN w:val="0"/>
      <w:adjustRightInd w:val="0"/>
      <w:spacing w:before="60" w:after="120" w:line="240" w:lineRule="auto"/>
      <w:ind w:left="227" w:right="227"/>
      <w:jc w:val="both"/>
      <w:textAlignment w:val="baseline"/>
    </w:pPr>
    <w:rPr>
      <w:rFonts w:ascii="Garamond" w:eastAsia="Times New Roman" w:hAnsi="Garamond" w:cs="Times New Roman"/>
      <w:color w:val="000000"/>
      <w:sz w:val="21"/>
      <w:szCs w:val="20"/>
      <w:lang w:eastAsia="de-DE"/>
    </w:rPr>
  </w:style>
  <w:style w:type="table" w:styleId="Tabellenraster">
    <w:name w:val="Table Grid"/>
    <w:basedOn w:val="NormaleTabelle"/>
    <w:rsid w:val="00152D7E"/>
    <w:pPr>
      <w:overflowPunct w:val="0"/>
      <w:autoSpaceDE w:val="0"/>
      <w:autoSpaceDN w:val="0"/>
      <w:adjustRightInd w:val="0"/>
      <w:spacing w:after="120" w:line="240" w:lineRule="auto"/>
      <w:jc w:val="both"/>
      <w:textAlignment w:val="baseline"/>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2251B2"/>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251B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1650</Words>
  <Characters>10399</Characters>
  <Application>Microsoft Office Word</Application>
  <DocSecurity>0</DocSecurity>
  <Lines>86</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Vanini, Ute</dc:creator>
  <cp:keywords/>
  <dc:description/>
  <cp:lastModifiedBy>Vanini, Ute</cp:lastModifiedBy>
  <cp:revision>3</cp:revision>
  <dcterms:created xsi:type="dcterms:W3CDTF">2019-09-27T08:20:00Z</dcterms:created>
  <dcterms:modified xsi:type="dcterms:W3CDTF">2019-09-27T08:40:00Z</dcterms:modified>
</cp:coreProperties>
</file>